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B6" w:rsidRPr="009D7A25" w:rsidRDefault="00125EC1" w:rsidP="00125EC1">
      <w:pPr>
        <w:bidi w:val="0"/>
        <w:jc w:val="center"/>
        <w:rPr>
          <w:rFonts w:asciiTheme="majorBidi" w:hAnsiTheme="majorBidi" w:cstheme="majorBidi"/>
          <w:lang w:bidi="ar-EG"/>
        </w:rPr>
      </w:pPr>
      <w:r w:rsidRPr="009D7A25">
        <w:rPr>
          <w:rFonts w:asciiTheme="majorBidi" w:hAnsiTheme="majorBidi" w:cstheme="majorBidi"/>
          <w:b/>
          <w:sz w:val="32"/>
        </w:rPr>
        <w:t>Prevalence of nocturnal enuresis and related risk factors in school-age children in Egypt: an epidemiological study</w:t>
      </w:r>
    </w:p>
    <w:p w:rsidR="00125EC1" w:rsidRPr="009D7A25" w:rsidRDefault="00125EC1" w:rsidP="00125EC1">
      <w:pPr>
        <w:bidi w:val="0"/>
        <w:jc w:val="both"/>
        <w:rPr>
          <w:rFonts w:asciiTheme="majorBidi" w:hAnsiTheme="majorBidi" w:cstheme="majorBidi"/>
          <w:sz w:val="24"/>
          <w:szCs w:val="24"/>
          <w:lang w:bidi="ar-EG"/>
        </w:rPr>
      </w:pPr>
      <w:r w:rsidRPr="009D7A25">
        <w:rPr>
          <w:rFonts w:asciiTheme="majorBidi" w:hAnsiTheme="majorBidi" w:cstheme="majorBidi"/>
          <w:sz w:val="24"/>
          <w:szCs w:val="24"/>
        </w:rPr>
        <w:t>Ahmed Hamed</w:t>
      </w:r>
      <w:r w:rsidRPr="009D7A25">
        <w:rPr>
          <w:rFonts w:asciiTheme="majorBidi" w:hAnsiTheme="majorBidi" w:cstheme="majorBidi"/>
          <w:sz w:val="24"/>
          <w:szCs w:val="24"/>
          <w:vertAlign w:val="superscript"/>
        </w:rPr>
        <w:t>1</w:t>
      </w:r>
      <w:r w:rsidRPr="009D7A25">
        <w:rPr>
          <w:rFonts w:asciiTheme="majorBidi" w:hAnsiTheme="majorBidi" w:cstheme="majorBidi"/>
          <w:sz w:val="24"/>
          <w:szCs w:val="24"/>
        </w:rPr>
        <w:t xml:space="preserve"> · Fouad Youse</w:t>
      </w:r>
      <w:bookmarkStart w:id="0" w:name="_GoBack"/>
      <w:bookmarkEnd w:id="0"/>
      <w:r w:rsidRPr="009D7A25">
        <w:rPr>
          <w:rFonts w:asciiTheme="majorBidi" w:hAnsiTheme="majorBidi" w:cstheme="majorBidi"/>
          <w:sz w:val="24"/>
          <w:szCs w:val="24"/>
        </w:rPr>
        <w:t>f</w:t>
      </w:r>
      <w:r w:rsidRPr="009D7A25">
        <w:rPr>
          <w:rFonts w:asciiTheme="majorBidi" w:hAnsiTheme="majorBidi" w:cstheme="majorBidi"/>
          <w:sz w:val="24"/>
          <w:szCs w:val="24"/>
          <w:vertAlign w:val="superscript"/>
        </w:rPr>
        <w:t>1</w:t>
      </w:r>
      <w:r w:rsidRPr="009D7A25">
        <w:rPr>
          <w:rFonts w:asciiTheme="majorBidi" w:hAnsiTheme="majorBidi" w:cstheme="majorBidi"/>
          <w:sz w:val="24"/>
          <w:szCs w:val="24"/>
        </w:rPr>
        <w:t xml:space="preserve"> · Mohamed M.</w:t>
      </w:r>
      <w:r w:rsidRPr="009D7A25">
        <w:rPr>
          <w:rFonts w:asciiTheme="majorBidi" w:hAnsiTheme="majorBidi" w:cstheme="majorBidi"/>
          <w:sz w:val="24"/>
          <w:szCs w:val="24"/>
          <w:lang w:bidi="ar-EG"/>
        </w:rPr>
        <w:t xml:space="preserve"> Hussein</w:t>
      </w:r>
      <w:r w:rsidRPr="009D7A25">
        <w:rPr>
          <w:rFonts w:asciiTheme="majorBidi" w:hAnsiTheme="majorBidi" w:cstheme="majorBidi"/>
          <w:sz w:val="24"/>
          <w:szCs w:val="24"/>
          <w:vertAlign w:val="superscript"/>
        </w:rPr>
        <w:t>2</w:t>
      </w:r>
    </w:p>
    <w:p w:rsidR="00125EC1" w:rsidRPr="009D7A25" w:rsidRDefault="00125EC1" w:rsidP="00125EC1">
      <w:pPr>
        <w:numPr>
          <w:ilvl w:val="0"/>
          <w:numId w:val="1"/>
        </w:numPr>
        <w:bidi w:val="0"/>
        <w:spacing w:after="105" w:line="254" w:lineRule="auto"/>
        <w:ind w:hanging="283"/>
        <w:jc w:val="both"/>
        <w:rPr>
          <w:rFonts w:asciiTheme="majorBidi" w:hAnsiTheme="majorBidi" w:cstheme="majorBidi"/>
        </w:rPr>
      </w:pPr>
      <w:r w:rsidRPr="009D7A25">
        <w:rPr>
          <w:rFonts w:asciiTheme="majorBidi" w:hAnsiTheme="majorBidi" w:cstheme="majorBidi"/>
        </w:rPr>
        <w:t xml:space="preserve">Department of Public Health &amp; </w:t>
      </w:r>
      <w:r w:rsidR="009D7A25">
        <w:rPr>
          <w:rFonts w:asciiTheme="majorBidi" w:hAnsiTheme="majorBidi" w:cstheme="majorBidi"/>
        </w:rPr>
        <w:t xml:space="preserve">Community Medicine, Faculty of Medicine, </w:t>
      </w:r>
      <w:r w:rsidRPr="009D7A25">
        <w:rPr>
          <w:rFonts w:asciiTheme="majorBidi" w:hAnsiTheme="majorBidi" w:cstheme="majorBidi"/>
        </w:rPr>
        <w:t>Sohag University, Sohag, Egypt</w:t>
      </w:r>
    </w:p>
    <w:p w:rsidR="00125EC1" w:rsidRPr="009D7A25" w:rsidRDefault="009D7A25" w:rsidP="009D7A25">
      <w:pPr>
        <w:numPr>
          <w:ilvl w:val="0"/>
          <w:numId w:val="1"/>
        </w:numPr>
        <w:bidi w:val="0"/>
        <w:spacing w:after="4" w:line="254" w:lineRule="auto"/>
        <w:ind w:hanging="283"/>
        <w:jc w:val="both"/>
        <w:rPr>
          <w:rFonts w:asciiTheme="majorBidi" w:hAnsiTheme="majorBidi" w:cstheme="majorBidi"/>
        </w:rPr>
      </w:pPr>
      <w:r>
        <w:rPr>
          <w:rFonts w:asciiTheme="majorBidi" w:hAnsiTheme="majorBidi" w:cstheme="majorBidi"/>
        </w:rPr>
        <w:t xml:space="preserve">Department of Urology, </w:t>
      </w:r>
      <w:r w:rsidR="00125EC1" w:rsidRPr="009D7A25">
        <w:rPr>
          <w:rFonts w:asciiTheme="majorBidi" w:hAnsiTheme="majorBidi" w:cstheme="majorBidi"/>
        </w:rPr>
        <w:t>Faculty of Medicine,  Sohag University Hospital, Sohag University, Sohag, Egypt</w:t>
      </w:r>
    </w:p>
    <w:p w:rsidR="00125EC1" w:rsidRPr="009D7A25" w:rsidRDefault="00125EC1" w:rsidP="00125EC1">
      <w:pPr>
        <w:pStyle w:val="Heading1"/>
        <w:spacing w:after="0" w:line="265" w:lineRule="auto"/>
        <w:ind w:left="8"/>
        <w:rPr>
          <w:rFonts w:asciiTheme="majorBidi" w:hAnsiTheme="majorBidi" w:cstheme="majorBidi"/>
          <w:color w:val="auto"/>
          <w:sz w:val="20"/>
        </w:rPr>
      </w:pPr>
    </w:p>
    <w:p w:rsidR="00125EC1" w:rsidRPr="009D7A25" w:rsidRDefault="00125EC1" w:rsidP="00125EC1">
      <w:pPr>
        <w:pStyle w:val="Heading1"/>
        <w:spacing w:after="0" w:line="265" w:lineRule="auto"/>
        <w:ind w:left="8"/>
        <w:rPr>
          <w:rFonts w:asciiTheme="majorBidi" w:hAnsiTheme="majorBidi" w:cstheme="majorBidi"/>
          <w:color w:val="auto"/>
          <w:sz w:val="28"/>
          <w:szCs w:val="28"/>
          <w:u w:val="single"/>
        </w:rPr>
      </w:pPr>
      <w:r w:rsidRPr="009D7A25">
        <w:rPr>
          <w:rFonts w:asciiTheme="majorBidi" w:hAnsiTheme="majorBidi" w:cstheme="majorBidi"/>
          <w:color w:val="auto"/>
          <w:sz w:val="28"/>
          <w:szCs w:val="28"/>
          <w:u w:val="single"/>
        </w:rPr>
        <w:t>Abstract</w:t>
      </w:r>
      <w:r w:rsidR="009D7A25">
        <w:rPr>
          <w:rFonts w:asciiTheme="majorBidi" w:hAnsiTheme="majorBidi" w:cstheme="majorBidi"/>
          <w:color w:val="auto"/>
          <w:sz w:val="28"/>
          <w:szCs w:val="28"/>
          <w:u w:val="single"/>
        </w:rPr>
        <w:t>:</w:t>
      </w:r>
    </w:p>
    <w:p w:rsidR="00666717" w:rsidRPr="009D7A25" w:rsidRDefault="00125EC1" w:rsidP="00666717">
      <w:pPr>
        <w:bidi w:val="0"/>
        <w:ind w:left="8"/>
        <w:jc w:val="both"/>
        <w:rPr>
          <w:rFonts w:asciiTheme="majorBidi" w:hAnsiTheme="majorBidi" w:cstheme="majorBidi"/>
          <w:i/>
          <w:sz w:val="24"/>
          <w:szCs w:val="24"/>
        </w:rPr>
      </w:pPr>
      <w:r w:rsidRPr="009D7A25">
        <w:rPr>
          <w:rFonts w:asciiTheme="majorBidi" w:hAnsiTheme="majorBidi" w:cstheme="majorBidi"/>
          <w:b/>
          <w:bCs/>
          <w:iCs/>
          <w:sz w:val="28"/>
          <w:szCs w:val="28"/>
          <w:u w:val="single"/>
        </w:rPr>
        <w:t>Purpose</w:t>
      </w:r>
      <w:r w:rsidR="009D7A25" w:rsidRPr="009D7A25">
        <w:rPr>
          <w:rFonts w:asciiTheme="majorBidi" w:hAnsiTheme="majorBidi" w:cstheme="majorBidi"/>
          <w:b/>
          <w:bCs/>
          <w:sz w:val="28"/>
          <w:szCs w:val="28"/>
        </w:rPr>
        <w:t>:</w:t>
      </w:r>
      <w:r w:rsidRPr="009D7A25">
        <w:rPr>
          <w:rFonts w:asciiTheme="majorBidi" w:hAnsiTheme="majorBidi" w:cstheme="majorBidi"/>
          <w:sz w:val="24"/>
          <w:szCs w:val="24"/>
        </w:rPr>
        <w:t xml:space="preserve"> To determine the prevalence of mono-symptomatic nocturnal enuresis (MNE) and its risk factors among school-age children in our community.</w:t>
      </w:r>
      <w:r w:rsidR="00666717" w:rsidRPr="009D7A25">
        <w:rPr>
          <w:rFonts w:asciiTheme="majorBidi" w:hAnsiTheme="majorBidi" w:cstheme="majorBidi"/>
          <w:sz w:val="24"/>
          <w:szCs w:val="24"/>
        </w:rPr>
        <w:t xml:space="preserve"> </w:t>
      </w:r>
    </w:p>
    <w:p w:rsidR="00666717" w:rsidRPr="009D7A25" w:rsidRDefault="00666717" w:rsidP="00666717">
      <w:pPr>
        <w:bidi w:val="0"/>
        <w:ind w:left="8"/>
        <w:jc w:val="both"/>
        <w:rPr>
          <w:rFonts w:asciiTheme="majorBidi" w:hAnsiTheme="majorBidi" w:cstheme="majorBidi"/>
          <w:i/>
          <w:sz w:val="24"/>
          <w:szCs w:val="24"/>
        </w:rPr>
      </w:pPr>
      <w:r w:rsidRPr="009D7A25">
        <w:rPr>
          <w:rFonts w:asciiTheme="majorBidi" w:hAnsiTheme="majorBidi" w:cstheme="majorBidi"/>
          <w:b/>
          <w:bCs/>
          <w:iCs/>
          <w:sz w:val="28"/>
          <w:szCs w:val="28"/>
          <w:u w:val="single"/>
        </w:rPr>
        <w:t>Methods</w:t>
      </w:r>
      <w:r w:rsidR="009D7A25">
        <w:rPr>
          <w:rFonts w:asciiTheme="majorBidi" w:hAnsiTheme="majorBidi" w:cstheme="majorBidi"/>
          <w:b/>
          <w:bCs/>
          <w:iCs/>
          <w:sz w:val="28"/>
          <w:szCs w:val="28"/>
          <w:u w:val="single"/>
        </w:rPr>
        <w:t>:</w:t>
      </w:r>
      <w:r w:rsidRPr="009D7A25">
        <w:rPr>
          <w:rFonts w:asciiTheme="majorBidi" w:hAnsiTheme="majorBidi" w:cstheme="majorBidi"/>
          <w:sz w:val="24"/>
          <w:szCs w:val="24"/>
        </w:rPr>
        <w:t xml:space="preserve"> A cross-sectional study included school-age children from two governorates in south of Egypt. A questionnaire was presented to randomly selected students. It consisted of 3 domains: Domain 1 included questions about MNE, domain 2 was about risk factors for MNE, and domain 3 was about management of MNE. </w:t>
      </w:r>
    </w:p>
    <w:p w:rsidR="00666717" w:rsidRPr="009D7A25" w:rsidRDefault="00666717" w:rsidP="00666717">
      <w:pPr>
        <w:bidi w:val="0"/>
        <w:ind w:left="8"/>
        <w:jc w:val="both"/>
        <w:rPr>
          <w:rFonts w:asciiTheme="majorBidi" w:hAnsiTheme="majorBidi" w:cstheme="majorBidi"/>
          <w:sz w:val="24"/>
          <w:szCs w:val="24"/>
        </w:rPr>
      </w:pPr>
      <w:r w:rsidRPr="00A554E5">
        <w:rPr>
          <w:rFonts w:asciiTheme="majorBidi" w:hAnsiTheme="majorBidi" w:cstheme="majorBidi"/>
          <w:b/>
          <w:bCs/>
          <w:iCs/>
          <w:sz w:val="28"/>
          <w:szCs w:val="28"/>
          <w:u w:val="single"/>
        </w:rPr>
        <w:t>Results</w:t>
      </w:r>
      <w:r w:rsidR="00A554E5">
        <w:rPr>
          <w:rFonts w:asciiTheme="majorBidi" w:hAnsiTheme="majorBidi" w:cstheme="majorBidi"/>
          <w:b/>
          <w:bCs/>
          <w:iCs/>
          <w:sz w:val="28"/>
          <w:szCs w:val="28"/>
          <w:u w:val="single"/>
        </w:rPr>
        <w:t>:</w:t>
      </w:r>
      <w:r w:rsidRPr="009D7A25">
        <w:rPr>
          <w:rFonts w:asciiTheme="majorBidi" w:hAnsiTheme="majorBidi" w:cstheme="majorBidi"/>
          <w:sz w:val="24"/>
          <w:szCs w:val="24"/>
        </w:rPr>
        <w:t xml:space="preserve"> The study included 4652 students (9 </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 2 years) from 12 primary schools (51 % males and 49 % females). Of 4652 students, 834 (18 %) had NE, with no significant difference between rural and urban areas (17.5 vs. 18.4 %, </w:t>
      </w:r>
      <w:r w:rsidRPr="009D7A25">
        <w:rPr>
          <w:rFonts w:asciiTheme="majorBidi" w:hAnsiTheme="majorBidi" w:cstheme="majorBidi"/>
          <w:i/>
          <w:sz w:val="24"/>
          <w:szCs w:val="24"/>
        </w:rPr>
        <w:t>p</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 0.4). Younger age categories showed higher prevalence of MNE than in older children. MNE caused moderate-</w:t>
      </w:r>
      <w:proofErr w:type="spellStart"/>
      <w:r w:rsidRPr="009D7A25">
        <w:rPr>
          <w:rFonts w:asciiTheme="majorBidi" w:hAnsiTheme="majorBidi" w:cstheme="majorBidi"/>
          <w:sz w:val="24"/>
          <w:szCs w:val="24"/>
        </w:rPr>
        <w:t>tosevere</w:t>
      </w:r>
      <w:proofErr w:type="spellEnd"/>
      <w:r w:rsidRPr="009D7A25">
        <w:rPr>
          <w:rFonts w:asciiTheme="majorBidi" w:hAnsiTheme="majorBidi" w:cstheme="majorBidi"/>
          <w:sz w:val="24"/>
          <w:szCs w:val="24"/>
        </w:rPr>
        <w:t xml:space="preserve"> bother for 44.5 and 87.8 % of students and parents, respectively. Urinary tract infection, pinworm infestation, constipation, and caffeine over-consumption significantly associated with MNE. Family history of MNE was positive in 84.7 %. Daytime incontinence coexisted in 16 % of cases. Children with </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4 siblings and birth order </w:t>
      </w:r>
      <w:r w:rsidRPr="009D7A25">
        <w:rPr>
          <w:rFonts w:asciiTheme="majorBidi" w:eastAsia="Calibri" w:hAnsiTheme="majorBidi" w:cstheme="majorBidi"/>
          <w:sz w:val="24"/>
          <w:szCs w:val="24"/>
        </w:rPr>
        <w:t>≥</w:t>
      </w:r>
      <w:r w:rsidRPr="009D7A25">
        <w:rPr>
          <w:rFonts w:asciiTheme="majorBidi" w:hAnsiTheme="majorBidi" w:cstheme="majorBidi"/>
          <w:sz w:val="24"/>
          <w:szCs w:val="24"/>
        </w:rPr>
        <w:t>3 had more prevalent MNE. Deep sleepers and exposure to problems/violence correlated positively with occurrence of MNE. Father’s level of education and work status, mother education, number of children per room, and socioeconomic status significantly associated with occurrence of MNE. There was no significant correlation between gender and prevalence of MNE. No treatment was used in 53.2 % of cases.</w:t>
      </w:r>
    </w:p>
    <w:p w:rsidR="00666717" w:rsidRPr="009D7A25" w:rsidRDefault="00666717" w:rsidP="00666717">
      <w:pPr>
        <w:bidi w:val="0"/>
        <w:spacing w:after="254"/>
        <w:ind w:left="8"/>
        <w:jc w:val="both"/>
        <w:rPr>
          <w:rFonts w:asciiTheme="majorBidi" w:hAnsiTheme="majorBidi" w:cstheme="majorBidi"/>
          <w:sz w:val="24"/>
          <w:szCs w:val="24"/>
        </w:rPr>
      </w:pPr>
      <w:r w:rsidRPr="00A554E5">
        <w:rPr>
          <w:rFonts w:asciiTheme="majorBidi" w:hAnsiTheme="majorBidi" w:cstheme="majorBidi"/>
          <w:b/>
          <w:bCs/>
          <w:iCs/>
          <w:sz w:val="28"/>
          <w:szCs w:val="28"/>
          <w:u w:val="single"/>
        </w:rPr>
        <w:t>Conclusion</w:t>
      </w:r>
      <w:r w:rsidR="00A554E5">
        <w:rPr>
          <w:rFonts w:asciiTheme="majorBidi" w:hAnsiTheme="majorBidi" w:cstheme="majorBidi"/>
          <w:b/>
          <w:bCs/>
          <w:iCs/>
          <w:sz w:val="28"/>
          <w:szCs w:val="28"/>
          <w:u w:val="single"/>
        </w:rPr>
        <w:t>:</w:t>
      </w:r>
      <w:r w:rsidRPr="009D7A25">
        <w:rPr>
          <w:rFonts w:asciiTheme="majorBidi" w:hAnsiTheme="majorBidi" w:cstheme="majorBidi"/>
          <w:sz w:val="24"/>
          <w:szCs w:val="24"/>
        </w:rPr>
        <w:t xml:space="preserve"> In the Egyptian community, pinworm infestation, UTI, constipation, and overconsumption of caffeine containing beverages are potential reversible risk factors for MNE in school-age children.</w:t>
      </w:r>
    </w:p>
    <w:p w:rsidR="00666717" w:rsidRPr="009D7A25" w:rsidRDefault="00666717" w:rsidP="00666717">
      <w:pPr>
        <w:bidi w:val="0"/>
        <w:spacing w:after="498"/>
        <w:ind w:left="8"/>
        <w:rPr>
          <w:rFonts w:asciiTheme="majorBidi" w:hAnsiTheme="majorBidi" w:cstheme="majorBidi"/>
          <w:sz w:val="24"/>
          <w:szCs w:val="24"/>
        </w:rPr>
      </w:pPr>
      <w:r w:rsidRPr="00A554E5">
        <w:rPr>
          <w:rFonts w:asciiTheme="majorBidi" w:hAnsiTheme="majorBidi" w:cstheme="majorBidi"/>
          <w:b/>
          <w:sz w:val="28"/>
          <w:szCs w:val="28"/>
          <w:u w:val="single"/>
        </w:rPr>
        <w:t>Keywords</w:t>
      </w:r>
      <w:r w:rsidR="00A554E5">
        <w:rPr>
          <w:rFonts w:asciiTheme="majorBidi" w:hAnsiTheme="majorBidi" w:cstheme="majorBidi"/>
          <w:b/>
          <w:sz w:val="28"/>
          <w:szCs w:val="28"/>
          <w:u w:val="single"/>
        </w:rPr>
        <w:t>:</w:t>
      </w:r>
      <w:r w:rsidRPr="009D7A25">
        <w:rPr>
          <w:rFonts w:asciiTheme="majorBidi" w:hAnsiTheme="majorBidi" w:cstheme="majorBidi"/>
          <w:sz w:val="24"/>
          <w:szCs w:val="24"/>
        </w:rPr>
        <w:t xml:space="preserve"> Prevalence · Nocturnal enuresis · Schoolchildren</w:t>
      </w:r>
    </w:p>
    <w:p w:rsidR="00666717" w:rsidRPr="009D7A25" w:rsidRDefault="00666717" w:rsidP="00666717">
      <w:pPr>
        <w:bidi w:val="0"/>
        <w:ind w:left="8"/>
        <w:jc w:val="both"/>
        <w:rPr>
          <w:rFonts w:asciiTheme="majorBidi" w:hAnsiTheme="majorBidi" w:cstheme="majorBidi"/>
        </w:rPr>
      </w:pPr>
    </w:p>
    <w:p w:rsidR="00125EC1" w:rsidRPr="009D7A25" w:rsidRDefault="00125EC1" w:rsidP="00125EC1">
      <w:pPr>
        <w:bidi w:val="0"/>
        <w:jc w:val="both"/>
        <w:rPr>
          <w:rFonts w:asciiTheme="majorBidi" w:hAnsiTheme="majorBidi" w:cstheme="majorBidi"/>
        </w:rPr>
      </w:pPr>
    </w:p>
    <w:p w:rsidR="00DE5137" w:rsidRPr="00A554E5" w:rsidRDefault="00DE5137" w:rsidP="00DE5137">
      <w:pPr>
        <w:pStyle w:val="Heading1"/>
        <w:ind w:left="8"/>
        <w:jc w:val="both"/>
        <w:rPr>
          <w:rFonts w:asciiTheme="majorBidi" w:hAnsiTheme="majorBidi" w:cstheme="majorBidi"/>
          <w:color w:val="auto"/>
          <w:sz w:val="28"/>
          <w:szCs w:val="28"/>
          <w:u w:val="single"/>
        </w:rPr>
      </w:pPr>
      <w:r w:rsidRPr="00A554E5">
        <w:rPr>
          <w:rFonts w:asciiTheme="majorBidi" w:hAnsiTheme="majorBidi" w:cstheme="majorBidi"/>
          <w:color w:val="auto"/>
          <w:sz w:val="28"/>
          <w:szCs w:val="28"/>
          <w:u w:val="single"/>
        </w:rPr>
        <w:lastRenderedPageBreak/>
        <w:t>Introduction:</w:t>
      </w:r>
    </w:p>
    <w:p w:rsidR="00DE5137" w:rsidRPr="009D7A25" w:rsidRDefault="00DE5137" w:rsidP="00DE5137">
      <w:pPr>
        <w:bidi w:val="0"/>
        <w:ind w:left="-2" w:firstLine="227"/>
        <w:jc w:val="both"/>
        <w:rPr>
          <w:rFonts w:asciiTheme="majorBidi" w:hAnsiTheme="majorBidi" w:cstheme="majorBidi"/>
        </w:rPr>
      </w:pPr>
      <w:r w:rsidRPr="009D7A25">
        <w:rPr>
          <w:rFonts w:asciiTheme="majorBidi" w:hAnsiTheme="majorBidi" w:cstheme="majorBidi"/>
          <w:sz w:val="24"/>
          <w:szCs w:val="24"/>
        </w:rPr>
        <w:t xml:space="preserve">Mono-symptomatic nocturnal enuresis (MNE) is defined as wetting episode that occurs in discrete amounts during sleep after age of 5 years [1]. MNE negatively affects the quality of life of children and their families. The impaired health-related quality of life can be improved after treatment of MNE [2]. There is no single clear-cut etiology for MNE in children; the disorder is likely multi-factorial [3]. A variety of potential causes have been proposed including dysfunction of sleep arousal, altered diurnal antidiuretic hormone secretion, decreased nocturnal bladder storage ability, genetic factors, psychological factors, maturational delay, and parental age and education level [4, 5]. The overall prevalence of MNE in Egypt has not been established yet. The current study aims to determine the prevalence of MNE among school-age children—as well as the risk factors related to this disorder—in the south of Egypt. </w:t>
      </w:r>
    </w:p>
    <w:p w:rsidR="00DE5137" w:rsidRPr="00A554E5" w:rsidRDefault="00DE5137" w:rsidP="00DE5137">
      <w:pPr>
        <w:pStyle w:val="Heading1"/>
        <w:ind w:left="8"/>
        <w:jc w:val="both"/>
        <w:rPr>
          <w:rFonts w:asciiTheme="majorBidi" w:hAnsiTheme="majorBidi" w:cstheme="majorBidi"/>
          <w:color w:val="auto"/>
          <w:sz w:val="28"/>
          <w:szCs w:val="28"/>
          <w:u w:val="single"/>
        </w:rPr>
      </w:pPr>
      <w:r w:rsidRPr="00A554E5">
        <w:rPr>
          <w:rFonts w:asciiTheme="majorBidi" w:hAnsiTheme="majorBidi" w:cstheme="majorBidi"/>
          <w:color w:val="auto"/>
          <w:sz w:val="28"/>
          <w:szCs w:val="28"/>
          <w:u w:val="single"/>
        </w:rPr>
        <w:t>Participants and methods:</w:t>
      </w:r>
    </w:p>
    <w:p w:rsidR="00DE5137" w:rsidRPr="00A554E5" w:rsidRDefault="00DE5137" w:rsidP="00DE5137">
      <w:pPr>
        <w:bidi w:val="0"/>
        <w:spacing w:after="245" w:line="265" w:lineRule="auto"/>
        <w:ind w:left="8"/>
        <w:jc w:val="both"/>
        <w:rPr>
          <w:rFonts w:asciiTheme="majorBidi" w:hAnsiTheme="majorBidi" w:cstheme="majorBidi"/>
          <w:sz w:val="24"/>
          <w:szCs w:val="24"/>
          <w:u w:val="single"/>
        </w:rPr>
      </w:pPr>
      <w:r w:rsidRPr="00A554E5">
        <w:rPr>
          <w:rFonts w:asciiTheme="majorBidi" w:hAnsiTheme="majorBidi" w:cstheme="majorBidi"/>
          <w:b/>
          <w:sz w:val="24"/>
          <w:szCs w:val="24"/>
          <w:u w:val="single"/>
        </w:rPr>
        <w:t>Study design:</w:t>
      </w:r>
    </w:p>
    <w:p w:rsidR="00DE5137" w:rsidRPr="009D7A25" w:rsidRDefault="00DE5137" w:rsidP="00DE5137">
      <w:pPr>
        <w:bidi w:val="0"/>
        <w:spacing w:after="248"/>
        <w:ind w:left="8"/>
        <w:jc w:val="both"/>
        <w:rPr>
          <w:rFonts w:asciiTheme="majorBidi" w:hAnsiTheme="majorBidi" w:cstheme="majorBidi"/>
          <w:sz w:val="24"/>
          <w:szCs w:val="24"/>
        </w:rPr>
      </w:pPr>
      <w:r w:rsidRPr="009D7A25">
        <w:rPr>
          <w:rFonts w:asciiTheme="majorBidi" w:hAnsiTheme="majorBidi" w:cstheme="majorBidi"/>
          <w:sz w:val="24"/>
          <w:szCs w:val="24"/>
        </w:rPr>
        <w:t>This was a cross-sectional study.</w:t>
      </w:r>
    </w:p>
    <w:p w:rsidR="00DE5137" w:rsidRPr="00A554E5" w:rsidRDefault="00DE5137" w:rsidP="00DE5137">
      <w:pPr>
        <w:pStyle w:val="Heading2"/>
        <w:bidi w:val="0"/>
        <w:ind w:left="8"/>
        <w:rPr>
          <w:rFonts w:asciiTheme="majorBidi" w:hAnsiTheme="majorBidi"/>
          <w:color w:val="auto"/>
          <w:sz w:val="24"/>
          <w:szCs w:val="24"/>
          <w:u w:val="single"/>
        </w:rPr>
      </w:pPr>
      <w:r w:rsidRPr="00A554E5">
        <w:rPr>
          <w:rFonts w:asciiTheme="majorBidi" w:hAnsiTheme="majorBidi"/>
          <w:color w:val="auto"/>
          <w:sz w:val="24"/>
          <w:szCs w:val="24"/>
          <w:u w:val="single"/>
        </w:rPr>
        <w:t>Study setting</w:t>
      </w:r>
      <w:r w:rsidR="00A554E5">
        <w:rPr>
          <w:rFonts w:asciiTheme="majorBidi" w:hAnsiTheme="majorBidi"/>
          <w:color w:val="auto"/>
          <w:sz w:val="24"/>
          <w:szCs w:val="24"/>
          <w:u w:val="single"/>
        </w:rPr>
        <w:t>:</w:t>
      </w:r>
    </w:p>
    <w:p w:rsidR="00DE5137" w:rsidRPr="009D7A25" w:rsidRDefault="00DE5137" w:rsidP="00DE5137">
      <w:pPr>
        <w:bidi w:val="0"/>
        <w:spacing w:after="247"/>
        <w:ind w:left="8"/>
        <w:jc w:val="both"/>
        <w:rPr>
          <w:rFonts w:asciiTheme="majorBidi" w:hAnsiTheme="majorBidi" w:cstheme="majorBidi"/>
          <w:sz w:val="24"/>
          <w:szCs w:val="24"/>
        </w:rPr>
      </w:pPr>
      <w:r w:rsidRPr="009D7A25">
        <w:rPr>
          <w:rFonts w:asciiTheme="majorBidi" w:hAnsiTheme="majorBidi" w:cstheme="majorBidi"/>
          <w:sz w:val="24"/>
          <w:szCs w:val="24"/>
        </w:rPr>
        <w:t xml:space="preserve">The study was conducted in Sohag and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Governorates—two of the nine governorates in the south of Egypt— Egypt consists of 27 governorates. Sohag consists of 12 municipalities; the total surface area of Sohag is 11,218 km</w:t>
      </w:r>
      <w:r w:rsidRPr="009D7A25">
        <w:rPr>
          <w:rFonts w:asciiTheme="majorBidi" w:hAnsiTheme="majorBidi" w:cstheme="majorBidi"/>
          <w:sz w:val="24"/>
          <w:szCs w:val="24"/>
          <w:vertAlign w:val="superscript"/>
        </w:rPr>
        <w:t>2</w:t>
      </w:r>
      <w:r w:rsidRPr="009D7A25">
        <w:rPr>
          <w:rFonts w:asciiTheme="majorBidi" w:hAnsiTheme="majorBidi" w:cstheme="majorBidi"/>
          <w:sz w:val="24"/>
          <w:szCs w:val="24"/>
        </w:rPr>
        <w:t xml:space="preserve"> with a total population of 4,69,151 citizen according to Egyptian Central Agency for Public Mobilization and Statistics report in 2014. The total number of students in primary schools (age 6–12 years) in Sohag was 1,71,468 students in 2014–2015. The total surface area of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is 10,798 Km</w:t>
      </w:r>
      <w:r w:rsidRPr="009D7A25">
        <w:rPr>
          <w:rFonts w:asciiTheme="majorBidi" w:hAnsiTheme="majorBidi" w:cstheme="majorBidi"/>
          <w:sz w:val="24"/>
          <w:szCs w:val="24"/>
          <w:vertAlign w:val="superscript"/>
        </w:rPr>
        <w:t>2</w:t>
      </w:r>
      <w:r w:rsidRPr="009D7A25">
        <w:rPr>
          <w:rFonts w:asciiTheme="majorBidi" w:hAnsiTheme="majorBidi" w:cstheme="majorBidi"/>
          <w:sz w:val="24"/>
          <w:szCs w:val="24"/>
        </w:rPr>
        <w:t xml:space="preserve"> with a population of 3 million.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consists of 2 big cities and 11 districts. The total number of students in primary schools in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was 1,32,659 students in 2014–2015.</w:t>
      </w:r>
    </w:p>
    <w:p w:rsidR="00566E54" w:rsidRPr="00A554E5" w:rsidRDefault="00566E54" w:rsidP="00566E54">
      <w:pPr>
        <w:pStyle w:val="Heading2"/>
        <w:bidi w:val="0"/>
        <w:ind w:left="8"/>
        <w:jc w:val="both"/>
        <w:rPr>
          <w:rFonts w:asciiTheme="majorBidi" w:hAnsiTheme="majorBidi"/>
          <w:color w:val="auto"/>
          <w:sz w:val="24"/>
          <w:szCs w:val="24"/>
          <w:u w:val="single"/>
        </w:rPr>
      </w:pPr>
      <w:r w:rsidRPr="00A554E5">
        <w:rPr>
          <w:rFonts w:asciiTheme="majorBidi" w:hAnsiTheme="majorBidi"/>
          <w:color w:val="auto"/>
          <w:sz w:val="24"/>
          <w:szCs w:val="24"/>
          <w:u w:val="single"/>
        </w:rPr>
        <w:t>Questionnaire</w:t>
      </w:r>
      <w:r w:rsidR="00A554E5">
        <w:rPr>
          <w:rFonts w:asciiTheme="majorBidi" w:hAnsiTheme="majorBidi"/>
          <w:color w:val="auto"/>
          <w:sz w:val="24"/>
          <w:szCs w:val="24"/>
          <w:u w:val="single"/>
        </w:rPr>
        <w:t>:</w:t>
      </w:r>
    </w:p>
    <w:p w:rsidR="00566E54" w:rsidRPr="009D7A25" w:rsidRDefault="00566E54" w:rsidP="00566E54">
      <w:pPr>
        <w:bidi w:val="0"/>
        <w:spacing w:after="248"/>
        <w:ind w:left="8"/>
        <w:jc w:val="both"/>
        <w:rPr>
          <w:rFonts w:asciiTheme="majorBidi" w:hAnsiTheme="majorBidi" w:cstheme="majorBidi"/>
        </w:rPr>
      </w:pPr>
      <w:r w:rsidRPr="009D7A25">
        <w:rPr>
          <w:rFonts w:asciiTheme="majorBidi" w:hAnsiTheme="majorBidi" w:cstheme="majorBidi"/>
          <w:sz w:val="24"/>
          <w:szCs w:val="24"/>
        </w:rPr>
        <w:t xml:space="preserve">A questionnaire was designed for this study after examining previous studies on MNE [6–8]. After obtaining approval of the local ethical committees of Sohag University Hospital,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University Hospital, and the concerned education authorities in both governorates, the questionnaire was first presented to a small sample of 100 students to test its validity. After making necessary changes, the final version of the questionnaire was presented to randomly selected students who were willing to participate in the study. The questionnaires were completed by the students themselves or by their parents anonymously. An informed consent was obtained from parents of the participants. The questionnaire consisted of 3 domains. The first domain included questions about MNE: type, frequency, degree of bother to student and/or his or her family, and whether MNE is associated with daytime incontinence or not. The second domain included questions about potential risk factors for MNE. </w:t>
      </w:r>
      <w:r w:rsidRPr="009D7A25">
        <w:rPr>
          <w:rFonts w:asciiTheme="majorBidi" w:hAnsiTheme="majorBidi" w:cstheme="majorBidi"/>
          <w:sz w:val="24"/>
          <w:szCs w:val="24"/>
        </w:rPr>
        <w:lastRenderedPageBreak/>
        <w:t>Student-related factors included: age of the student, gender, sibling number, birth order, sleep pattern, caffeine consumption, exposure to violence at home or at school, and chronic diseases. Family related factors included: family history of MNE, number of person per room, socioeconomic status, and parent’s level of education and work. The third domain of the questionnaire explored the method followed to manage MNE.</w:t>
      </w:r>
    </w:p>
    <w:p w:rsidR="001447F6" w:rsidRPr="00A554E5" w:rsidRDefault="001447F6" w:rsidP="001447F6">
      <w:pPr>
        <w:pStyle w:val="Heading2"/>
        <w:bidi w:val="0"/>
        <w:ind w:left="8"/>
        <w:jc w:val="both"/>
        <w:rPr>
          <w:rFonts w:asciiTheme="majorBidi" w:hAnsiTheme="majorBidi"/>
          <w:color w:val="auto"/>
          <w:sz w:val="24"/>
          <w:szCs w:val="24"/>
          <w:u w:val="single"/>
        </w:rPr>
      </w:pPr>
      <w:r w:rsidRPr="00A554E5">
        <w:rPr>
          <w:rFonts w:asciiTheme="majorBidi" w:hAnsiTheme="majorBidi"/>
          <w:color w:val="auto"/>
          <w:sz w:val="24"/>
          <w:szCs w:val="24"/>
          <w:u w:val="single"/>
        </w:rPr>
        <w:t>Sample size and statistical analysis</w:t>
      </w:r>
      <w:r w:rsidR="00A554E5">
        <w:rPr>
          <w:rFonts w:asciiTheme="majorBidi" w:hAnsiTheme="majorBidi"/>
          <w:color w:val="auto"/>
          <w:sz w:val="24"/>
          <w:szCs w:val="24"/>
          <w:u w:val="single"/>
        </w:rPr>
        <w:t>:</w:t>
      </w:r>
    </w:p>
    <w:p w:rsidR="001447F6" w:rsidRPr="009D7A25" w:rsidRDefault="001447F6" w:rsidP="001447F6">
      <w:pPr>
        <w:bidi w:val="0"/>
        <w:spacing w:after="489"/>
        <w:ind w:left="8"/>
        <w:jc w:val="both"/>
        <w:rPr>
          <w:rFonts w:asciiTheme="majorBidi" w:hAnsiTheme="majorBidi" w:cstheme="majorBidi"/>
          <w:sz w:val="24"/>
          <w:szCs w:val="24"/>
        </w:rPr>
      </w:pPr>
      <w:r w:rsidRPr="009D7A25">
        <w:rPr>
          <w:rFonts w:asciiTheme="majorBidi" w:hAnsiTheme="majorBidi" w:cstheme="majorBidi"/>
          <w:sz w:val="24"/>
          <w:szCs w:val="24"/>
        </w:rPr>
        <w:t xml:space="preserve">Statistical analysis was performed using intercooled STATA program version 12.1. Categorical variables were examined using Pearson Chi-square test. Logistic regression analysis was used to calculate the odds ratio (95 % confidence interval) and to determine different risk factors of MNE. Level of significance was set to 0.05. Sample size was calculated for one-sample comparison of proportion to hypothesized value. Based on the prevalence of MNE 17.2 % [9] and alternative prevalence of 14.9 % [7] with assumptions of </w:t>
      </w:r>
      <w:r w:rsidRPr="009D7A25">
        <w:rPr>
          <w:rFonts w:asciiTheme="majorBidi" w:hAnsiTheme="majorBidi" w:cstheme="majorBidi"/>
          <w:i/>
          <w:sz w:val="24"/>
          <w:szCs w:val="24"/>
        </w:rPr>
        <w:t>α</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 0.05 (two-sided), power </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 0.90, the estimated required sample size was 2704 subjects. A total of 4652 students from 12 primary schools in Sohag and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were included in the study. The sample size was taken—using simple random sample—from 3 districts in Sohag (Sohag, El-</w:t>
      </w:r>
      <w:proofErr w:type="spellStart"/>
      <w:r w:rsidRPr="009D7A25">
        <w:rPr>
          <w:rFonts w:asciiTheme="majorBidi" w:hAnsiTheme="majorBidi" w:cstheme="majorBidi"/>
          <w:sz w:val="24"/>
          <w:szCs w:val="24"/>
        </w:rPr>
        <w:t>Monsha</w:t>
      </w:r>
      <w:proofErr w:type="spellEnd"/>
      <w:r w:rsidRPr="009D7A25">
        <w:rPr>
          <w:rFonts w:asciiTheme="majorBidi" w:hAnsiTheme="majorBidi" w:cstheme="majorBidi"/>
          <w:sz w:val="24"/>
          <w:szCs w:val="24"/>
        </w:rPr>
        <w:t>, and El-</w:t>
      </w:r>
      <w:proofErr w:type="spellStart"/>
      <w:r w:rsidRPr="009D7A25">
        <w:rPr>
          <w:rFonts w:asciiTheme="majorBidi" w:hAnsiTheme="majorBidi" w:cstheme="majorBidi"/>
          <w:sz w:val="24"/>
          <w:szCs w:val="24"/>
        </w:rPr>
        <w:t>Maraga</w:t>
      </w:r>
      <w:proofErr w:type="spellEnd"/>
      <w:r w:rsidRPr="009D7A25">
        <w:rPr>
          <w:rFonts w:asciiTheme="majorBidi" w:hAnsiTheme="majorBidi" w:cstheme="majorBidi"/>
          <w:sz w:val="24"/>
          <w:szCs w:val="24"/>
        </w:rPr>
        <w:t xml:space="preserve">) and three districts in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Nag </w:t>
      </w:r>
      <w:proofErr w:type="spellStart"/>
      <w:r w:rsidRPr="009D7A25">
        <w:rPr>
          <w:rFonts w:asciiTheme="majorBidi" w:hAnsiTheme="majorBidi" w:cstheme="majorBidi"/>
          <w:sz w:val="24"/>
          <w:szCs w:val="24"/>
        </w:rPr>
        <w:t>Hammadi</w:t>
      </w:r>
      <w:proofErr w:type="spellEnd"/>
      <w:r w:rsidRPr="009D7A25">
        <w:rPr>
          <w:rFonts w:asciiTheme="majorBidi" w:hAnsiTheme="majorBidi" w:cstheme="majorBidi"/>
          <w:sz w:val="24"/>
          <w:szCs w:val="24"/>
        </w:rPr>
        <w:t xml:space="preserve">, an </w:t>
      </w:r>
      <w:proofErr w:type="spellStart"/>
      <w:r w:rsidRPr="009D7A25">
        <w:rPr>
          <w:rFonts w:asciiTheme="majorBidi" w:hAnsiTheme="majorBidi" w:cstheme="majorBidi"/>
          <w:sz w:val="24"/>
          <w:szCs w:val="24"/>
        </w:rPr>
        <w:t>Quoes</w:t>
      </w:r>
      <w:proofErr w:type="spellEnd"/>
      <w:r w:rsidRPr="009D7A25">
        <w:rPr>
          <w:rFonts w:asciiTheme="majorBidi" w:hAnsiTheme="majorBidi" w:cstheme="majorBidi"/>
          <w:sz w:val="24"/>
          <w:szCs w:val="24"/>
        </w:rPr>
        <w:t>); two schools from each district (rural and urban) were included.</w:t>
      </w:r>
    </w:p>
    <w:p w:rsidR="001447F6" w:rsidRPr="00A554E5" w:rsidRDefault="001447F6" w:rsidP="001447F6">
      <w:pPr>
        <w:pStyle w:val="Heading1"/>
        <w:ind w:left="8"/>
        <w:jc w:val="both"/>
        <w:rPr>
          <w:rFonts w:asciiTheme="majorBidi" w:hAnsiTheme="majorBidi" w:cstheme="majorBidi"/>
          <w:color w:val="auto"/>
          <w:sz w:val="28"/>
          <w:szCs w:val="28"/>
          <w:u w:val="single"/>
        </w:rPr>
      </w:pPr>
      <w:r w:rsidRPr="00A554E5">
        <w:rPr>
          <w:rFonts w:asciiTheme="majorBidi" w:hAnsiTheme="majorBidi" w:cstheme="majorBidi"/>
          <w:color w:val="auto"/>
          <w:sz w:val="28"/>
          <w:szCs w:val="28"/>
          <w:u w:val="single"/>
        </w:rPr>
        <w:t>Results</w:t>
      </w:r>
      <w:r w:rsidR="00A554E5">
        <w:rPr>
          <w:rFonts w:asciiTheme="majorBidi" w:hAnsiTheme="majorBidi" w:cstheme="majorBidi"/>
          <w:color w:val="auto"/>
          <w:sz w:val="28"/>
          <w:szCs w:val="28"/>
          <w:u w:val="single"/>
        </w:rPr>
        <w:t>:</w:t>
      </w:r>
    </w:p>
    <w:p w:rsidR="001447F6" w:rsidRPr="009D7A25" w:rsidRDefault="001447F6" w:rsidP="001447F6">
      <w:pPr>
        <w:bidi w:val="0"/>
        <w:ind w:left="8"/>
        <w:jc w:val="both"/>
        <w:rPr>
          <w:rFonts w:asciiTheme="majorBidi" w:hAnsiTheme="majorBidi" w:cstheme="majorBidi"/>
          <w:sz w:val="24"/>
          <w:szCs w:val="24"/>
        </w:rPr>
      </w:pPr>
      <w:r w:rsidRPr="009D7A25">
        <w:rPr>
          <w:rFonts w:asciiTheme="majorBidi" w:hAnsiTheme="majorBidi" w:cstheme="majorBidi"/>
          <w:sz w:val="24"/>
          <w:szCs w:val="24"/>
        </w:rPr>
        <w:t xml:space="preserve">The study included 4652 students, 9 </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 2 years old, from 12 primary schools in Sohag and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xml:space="preserve">. There were 2368 (51 %) student from Sohag and 2284 (49 %) from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There were 4403 (52 %) students from rural areas and 2249 (48 %) from urban areas. The number of male students was 2331 (51 %), while the number of female students was 2321 (49 %).</w:t>
      </w:r>
    </w:p>
    <w:p w:rsidR="001447F6" w:rsidRPr="009D7A25" w:rsidRDefault="001447F6" w:rsidP="001447F6">
      <w:pPr>
        <w:bidi w:val="0"/>
        <w:spacing w:after="41"/>
        <w:ind w:left="-2" w:firstLine="227"/>
        <w:jc w:val="both"/>
        <w:rPr>
          <w:rFonts w:asciiTheme="majorBidi" w:hAnsiTheme="majorBidi" w:cstheme="majorBidi"/>
          <w:sz w:val="24"/>
          <w:szCs w:val="24"/>
        </w:rPr>
      </w:pPr>
      <w:r w:rsidRPr="009D7A25">
        <w:rPr>
          <w:rFonts w:asciiTheme="majorBidi" w:hAnsiTheme="majorBidi" w:cstheme="majorBidi"/>
          <w:sz w:val="24"/>
          <w:szCs w:val="24"/>
        </w:rPr>
        <w:t xml:space="preserve">A total of 834 out of the 4652 students (18 %) had MNE—75 % were of primary type (never been continuously dry for at least 6 months). The prevalence of MNE was 18 % in Sohag and 17.9 % in </w:t>
      </w:r>
      <w:proofErr w:type="spellStart"/>
      <w:r w:rsidRPr="009D7A25">
        <w:rPr>
          <w:rFonts w:asciiTheme="majorBidi" w:hAnsiTheme="majorBidi" w:cstheme="majorBidi"/>
          <w:sz w:val="24"/>
          <w:szCs w:val="24"/>
        </w:rPr>
        <w:t>Qena</w:t>
      </w:r>
      <w:proofErr w:type="spellEnd"/>
      <w:r w:rsidRPr="009D7A25">
        <w:rPr>
          <w:rFonts w:asciiTheme="majorBidi" w:hAnsiTheme="majorBidi" w:cstheme="majorBidi"/>
          <w:sz w:val="24"/>
          <w:szCs w:val="24"/>
        </w:rPr>
        <w:t>, with no significant difference between the two governorates (</w:t>
      </w:r>
      <w:r w:rsidRPr="009D7A25">
        <w:rPr>
          <w:rFonts w:asciiTheme="majorBidi" w:hAnsiTheme="majorBidi" w:cstheme="majorBidi"/>
          <w:i/>
          <w:sz w:val="24"/>
          <w:szCs w:val="24"/>
        </w:rPr>
        <w:t>p</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 0.9). The prevalence of MNE showed no significant difference between the rural and the urban areas (17.5 vs. 18.4 %; </w:t>
      </w:r>
      <w:r w:rsidRPr="009D7A25">
        <w:rPr>
          <w:rFonts w:asciiTheme="majorBidi" w:hAnsiTheme="majorBidi" w:cstheme="majorBidi"/>
          <w:i/>
          <w:sz w:val="24"/>
          <w:szCs w:val="24"/>
        </w:rPr>
        <w:t>p</w:t>
      </w:r>
      <w:r w:rsidRPr="009D7A25">
        <w:rPr>
          <w:rFonts w:asciiTheme="majorBidi" w:eastAsia="Calibri" w:hAnsiTheme="majorBidi" w:cstheme="majorBidi"/>
          <w:sz w:val="24"/>
          <w:szCs w:val="24"/>
        </w:rPr>
        <w:t>=</w:t>
      </w:r>
      <w:r w:rsidRPr="009D7A25">
        <w:rPr>
          <w:rFonts w:asciiTheme="majorBidi" w:hAnsiTheme="majorBidi" w:cstheme="majorBidi"/>
          <w:sz w:val="24"/>
          <w:szCs w:val="24"/>
        </w:rPr>
        <w:t>Table  0.4).1 shows criteria of MNE in the affected students. Frequency of MNE episodes varied from everyday in 16.5 % to less than once a week in 15.3 % of the student. MNE caused moderate-to-severe bother for 44.5 % of students and for 87.8 % of their parents. MNE was associated with daytime incontinence in 16 % of cases.</w:t>
      </w:r>
    </w:p>
    <w:p w:rsidR="001447F6" w:rsidRPr="009D7A25" w:rsidRDefault="001447F6" w:rsidP="001447F6">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Table 2 shows the distribution of MNE among students based on age and gender. The younger age categories showed higher prevalence of MNE than in older age categories. There was no significant correlation between gender and prevalence of MNE.</w:t>
      </w:r>
    </w:p>
    <w:p w:rsidR="001447F6" w:rsidRPr="009D7A25" w:rsidRDefault="001447F6" w:rsidP="001447F6">
      <w:pPr>
        <w:bidi w:val="0"/>
        <w:spacing w:after="37"/>
        <w:ind w:left="-2" w:firstLine="227"/>
        <w:jc w:val="both"/>
        <w:rPr>
          <w:rFonts w:asciiTheme="majorBidi" w:hAnsiTheme="majorBidi" w:cstheme="majorBidi"/>
          <w:sz w:val="24"/>
          <w:szCs w:val="24"/>
        </w:rPr>
      </w:pPr>
      <w:r w:rsidRPr="009D7A25">
        <w:rPr>
          <w:rFonts w:asciiTheme="majorBidi" w:hAnsiTheme="majorBidi" w:cstheme="majorBidi"/>
          <w:sz w:val="24"/>
          <w:szCs w:val="24"/>
        </w:rPr>
        <w:lastRenderedPageBreak/>
        <w:t xml:space="preserve">Table 3 shows that the number of siblings of </w:t>
      </w:r>
      <w:r w:rsidRPr="009D7A25">
        <w:rPr>
          <w:rFonts w:asciiTheme="majorBidi" w:eastAsia="Calibri" w:hAnsiTheme="majorBidi" w:cstheme="majorBidi"/>
          <w:sz w:val="24"/>
          <w:szCs w:val="24"/>
        </w:rPr>
        <w:t>≥</w:t>
      </w:r>
      <w:r w:rsidRPr="009D7A25">
        <w:rPr>
          <w:rFonts w:asciiTheme="majorBidi" w:hAnsiTheme="majorBidi" w:cstheme="majorBidi"/>
          <w:sz w:val="24"/>
          <w:szCs w:val="24"/>
        </w:rPr>
        <w:t xml:space="preserve">4 and birth order </w:t>
      </w:r>
      <w:r w:rsidRPr="009D7A25">
        <w:rPr>
          <w:rFonts w:asciiTheme="majorBidi" w:eastAsia="Calibri" w:hAnsiTheme="majorBidi" w:cstheme="majorBidi"/>
          <w:sz w:val="24"/>
          <w:szCs w:val="24"/>
          <w:vertAlign w:val="subscript"/>
        </w:rPr>
        <w:t>≥</w:t>
      </w:r>
      <w:r w:rsidRPr="009D7A25">
        <w:rPr>
          <w:rFonts w:asciiTheme="majorBidi" w:hAnsiTheme="majorBidi" w:cstheme="majorBidi"/>
          <w:sz w:val="24"/>
          <w:szCs w:val="24"/>
        </w:rPr>
        <w:t>3, deep sleeping pattern, caffeine consumption, and exposure to problems/violence correlated positively with occurrence of MNE.</w:t>
      </w:r>
    </w:p>
    <w:p w:rsidR="00E80F57" w:rsidRPr="009D7A25" w:rsidRDefault="001447F6" w:rsidP="00E80F57">
      <w:pPr>
        <w:bidi w:val="0"/>
        <w:ind w:left="8"/>
        <w:jc w:val="both"/>
        <w:rPr>
          <w:rFonts w:asciiTheme="majorBidi" w:hAnsiTheme="majorBidi" w:cstheme="majorBidi"/>
          <w:sz w:val="24"/>
          <w:szCs w:val="24"/>
        </w:rPr>
      </w:pPr>
      <w:r w:rsidRPr="009D7A25">
        <w:rPr>
          <w:rFonts w:asciiTheme="majorBidi" w:hAnsiTheme="majorBidi" w:cstheme="majorBidi"/>
          <w:sz w:val="24"/>
          <w:szCs w:val="24"/>
        </w:rPr>
        <w:t>Table 4 shows that 84.7 % of students with MNE had a family history of MNE compared to 3.1 % of those with negative family history of MNE. The prevalence</w:t>
      </w:r>
      <w:r w:rsidR="00E80F57" w:rsidRPr="009D7A25">
        <w:rPr>
          <w:rFonts w:asciiTheme="majorBidi" w:hAnsiTheme="majorBidi" w:cstheme="majorBidi"/>
          <w:sz w:val="24"/>
          <w:szCs w:val="24"/>
        </w:rPr>
        <w:t xml:space="preserve"> of MNE was significantly higher when siblings–cousins were affected. Father’s level of education and work status, mother education, number of children per room, and socioeconomic status had significant association with the occurrence of MNE.</w:t>
      </w:r>
    </w:p>
    <w:p w:rsidR="00E80F57" w:rsidRPr="009D7A25" w:rsidRDefault="00E80F57" w:rsidP="00E80F57">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Presence of other diseases as urinary tract infection (UTI), respiratory tract infection, fits, anal itching, pinworm infestation, and constipation showed significant association with MNE (Table 5).</w:t>
      </w:r>
    </w:p>
    <w:p w:rsidR="00E80F57" w:rsidRPr="009D7A25" w:rsidRDefault="00E80F57" w:rsidP="00E80F57">
      <w:pPr>
        <w:bidi w:val="0"/>
        <w:spacing w:after="498"/>
        <w:ind w:left="-2" w:firstLine="227"/>
        <w:jc w:val="both"/>
        <w:rPr>
          <w:rFonts w:asciiTheme="majorBidi" w:hAnsiTheme="majorBidi" w:cstheme="majorBidi"/>
          <w:sz w:val="24"/>
          <w:szCs w:val="24"/>
        </w:rPr>
      </w:pPr>
      <w:r w:rsidRPr="009D7A25">
        <w:rPr>
          <w:rFonts w:asciiTheme="majorBidi" w:hAnsiTheme="majorBidi" w:cstheme="majorBidi"/>
          <w:sz w:val="24"/>
          <w:szCs w:val="24"/>
        </w:rPr>
        <w:t>No treatment was used in 53.2 % of cases, behavioral treatment was used in 16.7 %, drug treatment was used in 20.5 %, and both drug and behavioral treatment were used in 10.2 % of cases. The main causes for seeking treatment were: to avoid humiliation in 32.3 % followed by to feel safer in 25.4 % and to build self-esteem in 24.3 % of cases. Punishment was used only in 8.2 % of cases. Water restriction and awaking child were the most common tools used in managing MNE (Table 6).</w:t>
      </w:r>
    </w:p>
    <w:p w:rsidR="00146E5E" w:rsidRPr="00A554E5" w:rsidRDefault="00146E5E" w:rsidP="00146E5E">
      <w:pPr>
        <w:pStyle w:val="Heading1"/>
        <w:ind w:left="8"/>
        <w:rPr>
          <w:rFonts w:asciiTheme="majorBidi" w:hAnsiTheme="majorBidi" w:cstheme="majorBidi"/>
          <w:color w:val="auto"/>
          <w:sz w:val="28"/>
          <w:szCs w:val="28"/>
          <w:u w:val="single"/>
        </w:rPr>
      </w:pPr>
      <w:r w:rsidRPr="00A554E5">
        <w:rPr>
          <w:rFonts w:asciiTheme="majorBidi" w:hAnsiTheme="majorBidi" w:cstheme="majorBidi"/>
          <w:color w:val="auto"/>
          <w:sz w:val="28"/>
          <w:szCs w:val="28"/>
          <w:u w:val="single"/>
        </w:rPr>
        <w:t>Discussions</w:t>
      </w:r>
      <w:r w:rsidR="00A554E5">
        <w:rPr>
          <w:rFonts w:asciiTheme="majorBidi" w:hAnsiTheme="majorBidi" w:cstheme="majorBidi"/>
          <w:color w:val="auto"/>
          <w:sz w:val="28"/>
          <w:szCs w:val="28"/>
          <w:u w:val="single"/>
        </w:rPr>
        <w:t>:</w:t>
      </w:r>
    </w:p>
    <w:p w:rsidR="00146E5E" w:rsidRPr="009D7A25" w:rsidRDefault="00146E5E" w:rsidP="00146E5E">
      <w:pPr>
        <w:bidi w:val="0"/>
        <w:ind w:left="8"/>
        <w:jc w:val="both"/>
        <w:rPr>
          <w:rFonts w:asciiTheme="majorBidi" w:hAnsiTheme="majorBidi" w:cstheme="majorBidi"/>
          <w:sz w:val="24"/>
          <w:szCs w:val="24"/>
        </w:rPr>
      </w:pPr>
      <w:r w:rsidRPr="009D7A25">
        <w:rPr>
          <w:rFonts w:asciiTheme="majorBidi" w:hAnsiTheme="majorBidi" w:cstheme="majorBidi"/>
          <w:sz w:val="24"/>
          <w:szCs w:val="24"/>
        </w:rPr>
        <w:t>The overall prevalence of MNE in our series is 18 %. The prevalence of MNE in different regions of the world is widely variable [10]. In Australia, MNE was prevalent in 18.2 % of school-age children [3]. Reports from Taiwan indicated a prevalence of 5.5 % in school-age children [11]. Dutch reports indicated 6 % prevalence of MNE in children aged 5–15 years [12], while in South Africa, it was 14–16 % [13]. Most authors have ascribed this wide variation to the absence of a standardized definition for MNE.</w:t>
      </w:r>
    </w:p>
    <w:p w:rsidR="00B03F14" w:rsidRPr="009D7A25" w:rsidRDefault="00146E5E" w:rsidP="00B03F14">
      <w:pPr>
        <w:bidi w:val="0"/>
        <w:ind w:left="8"/>
        <w:jc w:val="both"/>
        <w:rPr>
          <w:rFonts w:asciiTheme="majorBidi" w:hAnsiTheme="majorBidi" w:cstheme="majorBidi"/>
          <w:sz w:val="24"/>
          <w:szCs w:val="24"/>
        </w:rPr>
      </w:pPr>
      <w:r w:rsidRPr="009D7A25">
        <w:rPr>
          <w:rFonts w:asciiTheme="majorBidi" w:hAnsiTheme="majorBidi" w:cstheme="majorBidi"/>
          <w:sz w:val="24"/>
          <w:szCs w:val="24"/>
        </w:rPr>
        <w:t>The current study shows that there is no significant difference in the prevalence of MNE between girls and boys. Some studies indicated more prevalence of MNE in girls than in boys—up to 4:1 ratio [14], while others reported higher prevalence of MNE in boys which has been ascribed to later development of attaining successful toilet training [15, 16]. Prevalence of MNE in the current series is 24.6 % in children aged 6 years, 17.9 % at 9 years, and only 9.3 %</w:t>
      </w:r>
      <w:r w:rsidR="00B03F14" w:rsidRPr="009D7A25">
        <w:rPr>
          <w:rFonts w:asciiTheme="majorBidi" w:hAnsiTheme="majorBidi" w:cstheme="majorBidi"/>
          <w:sz w:val="24"/>
          <w:szCs w:val="24"/>
        </w:rPr>
        <w:t xml:space="preserve"> at 12 years, which is in accordance with previous reports [12, 17].</w:t>
      </w:r>
    </w:p>
    <w:p w:rsidR="00B03F14" w:rsidRPr="009D7A25" w:rsidRDefault="00B03F14" w:rsidP="00B03F14">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Some predictors of severe MNE have been proposed in the literature such as age, inhabitation in rural areas, family history, social class, and unemployment [12, 17, 18]. Deep sleepers in our study have more prevalent MNE (96 %), which is in accordance with previous studies [17, 19]. About 84 % of children with MNE have positive family history of MNE in our study which is in keeping with established knowledge about the contribution of hereditary factors in the etiology of MNE [13, 20].</w:t>
      </w:r>
    </w:p>
    <w:p w:rsidR="00B03F14" w:rsidRPr="009D7A25" w:rsidRDefault="00B03F14" w:rsidP="00B03F14">
      <w:pPr>
        <w:bidi w:val="0"/>
        <w:ind w:left="8"/>
        <w:jc w:val="both"/>
        <w:rPr>
          <w:rFonts w:asciiTheme="majorBidi" w:hAnsiTheme="majorBidi" w:cstheme="majorBidi"/>
          <w:sz w:val="24"/>
          <w:szCs w:val="24"/>
        </w:rPr>
      </w:pPr>
      <w:r w:rsidRPr="009D7A25">
        <w:rPr>
          <w:rFonts w:asciiTheme="majorBidi" w:hAnsiTheme="majorBidi" w:cstheme="majorBidi"/>
          <w:sz w:val="24"/>
          <w:szCs w:val="24"/>
        </w:rPr>
        <w:lastRenderedPageBreak/>
        <w:t>An important finding of our study is that UTI, pinworm infestation, and constipation are all present in high rates in children with MNE (77.8, 61.5, and 88.8 %, respectively). In a South African study, constipation was reported in only 15.8 % of children with MNE [13]. In an Australian study, no significant association between constipation and severe MNE, but fecal soiling was found to be an independent risk factor for severe MNE. However, the authors believe that constipation was under-reported or unnoticed by parents in their study [2]. Moreover, the common innervations and anatomical proximity of both the anal and urinary sphincters might explain the simultaneous occurrence of functional disorders [21]. The coexistence of MNE, overactive bladder, constipation or fecal soiling—known as dysfunctional elimination syndrome—has been considered as risk factor for refractory MNE [22].</w:t>
      </w:r>
    </w:p>
    <w:p w:rsidR="00B03F14" w:rsidRPr="009D7A25" w:rsidRDefault="00B03F14" w:rsidP="00B03F14">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Pinworm infestation exists in 61.5 % of students with MNE in our study. Out-</w:t>
      </w:r>
      <w:proofErr w:type="spellStart"/>
      <w:r w:rsidRPr="009D7A25">
        <w:rPr>
          <w:rFonts w:asciiTheme="majorBidi" w:hAnsiTheme="majorBidi" w:cstheme="majorBidi"/>
          <w:sz w:val="24"/>
          <w:szCs w:val="24"/>
        </w:rPr>
        <w:t>Bassey</w:t>
      </w:r>
      <w:proofErr w:type="spellEnd"/>
      <w:r w:rsidRPr="009D7A25">
        <w:rPr>
          <w:rFonts w:asciiTheme="majorBidi" w:hAnsiTheme="majorBidi" w:cstheme="majorBidi"/>
          <w:sz w:val="24"/>
          <w:szCs w:val="24"/>
        </w:rPr>
        <w:t xml:space="preserve"> et al. reported a significant difference in MNE between children with and without pinworm (53 vs. 34 %, respectively) in Nigerian school-age children [23].</w:t>
      </w:r>
    </w:p>
    <w:p w:rsidR="00B03F14" w:rsidRPr="009D7A25" w:rsidRDefault="00B03F14" w:rsidP="00B03F14">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About 72.9 % of children with MNE in the current study drink caffeine-containing beverages, which are known for their diuretic effect. This might be a contributing factor to occurrence/severity of MNE in these children because 80.8 % of them consume up to 4 units of caffeinated drinks per day.</w:t>
      </w:r>
    </w:p>
    <w:p w:rsidR="00B03F14" w:rsidRPr="009D7A25" w:rsidRDefault="00B03F14" w:rsidP="00B03F14">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The prevalence of MNE in younger children in our study is higher than in older age categories—this is in keeping with previous reports [14, 17].</w:t>
      </w:r>
    </w:p>
    <w:p w:rsidR="00B03F14" w:rsidRPr="009D7A25" w:rsidRDefault="00B03F14" w:rsidP="00B03F14">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In our study, the prevalence of MNE shows no significant difference between the rural and the urban areas. A Chinese study reported that marked MNE is more likely to occur in children living in rural areas [17].</w:t>
      </w:r>
    </w:p>
    <w:p w:rsidR="00B03F14" w:rsidRPr="009D7A25" w:rsidRDefault="00B03F14" w:rsidP="00B03F14">
      <w:pPr>
        <w:bidi w:val="0"/>
        <w:ind w:left="-2" w:firstLine="227"/>
        <w:jc w:val="both"/>
        <w:rPr>
          <w:rFonts w:asciiTheme="majorBidi" w:hAnsiTheme="majorBidi" w:cstheme="majorBidi"/>
        </w:rPr>
      </w:pPr>
      <w:r w:rsidRPr="009D7A25">
        <w:rPr>
          <w:rFonts w:asciiTheme="majorBidi" w:hAnsiTheme="majorBidi" w:cstheme="majorBidi"/>
          <w:sz w:val="24"/>
          <w:szCs w:val="24"/>
        </w:rPr>
        <w:t>MNE is associated with daytime incontinence in 16 % of cases in our study. The Chinese and Australian studies reported coexistence of MNE and daytime incontinence in 21.17 % [17] and in 17 % [2] of children, respectively.</w:t>
      </w:r>
    </w:p>
    <w:p w:rsidR="00B03F14" w:rsidRPr="009D7A25" w:rsidRDefault="00B03F14" w:rsidP="00B03F14">
      <w:pPr>
        <w:bidi w:val="0"/>
        <w:ind w:left="8"/>
        <w:jc w:val="both"/>
        <w:rPr>
          <w:rFonts w:asciiTheme="majorBidi" w:hAnsiTheme="majorBidi" w:cstheme="majorBidi"/>
          <w:sz w:val="24"/>
          <w:szCs w:val="24"/>
        </w:rPr>
      </w:pPr>
      <w:r w:rsidRPr="009D7A25">
        <w:rPr>
          <w:rFonts w:asciiTheme="majorBidi" w:hAnsiTheme="majorBidi" w:cstheme="majorBidi"/>
          <w:sz w:val="24"/>
          <w:szCs w:val="24"/>
        </w:rPr>
        <w:t>Father’s level of education and work status, mother education, number of children per room, and socioeconomic status all have significant association with the occurrence of MNE. This is in concordance with previous studies [11, 24].</w:t>
      </w:r>
    </w:p>
    <w:p w:rsidR="00B03F14" w:rsidRPr="009D7A25" w:rsidRDefault="00B03F14" w:rsidP="00B03F14">
      <w:pPr>
        <w:bidi w:val="0"/>
        <w:ind w:left="-2" w:firstLine="227"/>
        <w:jc w:val="both"/>
        <w:rPr>
          <w:rFonts w:asciiTheme="majorBidi" w:hAnsiTheme="majorBidi" w:cstheme="majorBidi"/>
          <w:sz w:val="24"/>
          <w:szCs w:val="24"/>
        </w:rPr>
      </w:pPr>
      <w:r w:rsidRPr="009D7A25">
        <w:rPr>
          <w:rFonts w:asciiTheme="majorBidi" w:hAnsiTheme="majorBidi" w:cstheme="majorBidi"/>
          <w:sz w:val="24"/>
          <w:szCs w:val="24"/>
        </w:rPr>
        <w:t>About 53.2 % of children with MNE in our study sought no medical consultation. In South Africa, 42 % of parents indicated that they were not aware of any available specific treatment for their MNE in their children [13]. In a Nigerian study, about 75 % of the children did not consult a health worker [25].</w:t>
      </w:r>
    </w:p>
    <w:p w:rsidR="00B03F14" w:rsidRPr="00A554E5" w:rsidRDefault="00B03F14" w:rsidP="00B03F14">
      <w:pPr>
        <w:pStyle w:val="Heading1"/>
        <w:ind w:left="8"/>
        <w:jc w:val="both"/>
        <w:rPr>
          <w:rFonts w:asciiTheme="majorBidi" w:hAnsiTheme="majorBidi" w:cstheme="majorBidi"/>
          <w:color w:val="auto"/>
          <w:sz w:val="28"/>
          <w:szCs w:val="28"/>
          <w:u w:val="single"/>
        </w:rPr>
      </w:pPr>
      <w:r w:rsidRPr="00A554E5">
        <w:rPr>
          <w:rFonts w:asciiTheme="majorBidi" w:hAnsiTheme="majorBidi" w:cstheme="majorBidi"/>
          <w:color w:val="auto"/>
          <w:sz w:val="28"/>
          <w:szCs w:val="28"/>
          <w:u w:val="single"/>
        </w:rPr>
        <w:t>Conclusions</w:t>
      </w:r>
      <w:r w:rsidR="00A554E5">
        <w:rPr>
          <w:rFonts w:asciiTheme="majorBidi" w:hAnsiTheme="majorBidi" w:cstheme="majorBidi"/>
          <w:color w:val="auto"/>
          <w:sz w:val="28"/>
          <w:szCs w:val="28"/>
          <w:u w:val="single"/>
        </w:rPr>
        <w:t>:</w:t>
      </w:r>
    </w:p>
    <w:p w:rsidR="00B03F14" w:rsidRPr="009D7A25" w:rsidRDefault="00B03F14" w:rsidP="00B03F14">
      <w:pPr>
        <w:bidi w:val="0"/>
        <w:spacing w:after="202"/>
        <w:ind w:left="8"/>
        <w:jc w:val="both"/>
        <w:rPr>
          <w:rFonts w:asciiTheme="majorBidi" w:hAnsiTheme="majorBidi" w:cstheme="majorBidi"/>
          <w:sz w:val="24"/>
          <w:szCs w:val="24"/>
        </w:rPr>
      </w:pPr>
      <w:r w:rsidRPr="009D7A25">
        <w:rPr>
          <w:rFonts w:asciiTheme="majorBidi" w:hAnsiTheme="majorBidi" w:cstheme="majorBidi"/>
          <w:sz w:val="24"/>
          <w:szCs w:val="24"/>
        </w:rPr>
        <w:t>The current study indicates that in the Egyptian community, pinworm infestation, UTI, constipation, and over-consumption of caffeine-containing beverages are potentially reversible risk factors for MNE in school</w:t>
      </w:r>
      <w:r w:rsidR="00A554E5">
        <w:rPr>
          <w:rFonts w:asciiTheme="majorBidi" w:hAnsiTheme="majorBidi" w:cstheme="majorBidi"/>
          <w:sz w:val="24"/>
          <w:szCs w:val="24"/>
        </w:rPr>
        <w:t xml:space="preserve"> </w:t>
      </w:r>
      <w:r w:rsidRPr="009D7A25">
        <w:rPr>
          <w:rFonts w:asciiTheme="majorBidi" w:hAnsiTheme="majorBidi" w:cstheme="majorBidi"/>
          <w:sz w:val="24"/>
          <w:szCs w:val="24"/>
        </w:rPr>
        <w:t xml:space="preserve">age children in Egypt. The effect </w:t>
      </w:r>
      <w:r w:rsidRPr="009D7A25">
        <w:rPr>
          <w:rFonts w:asciiTheme="majorBidi" w:hAnsiTheme="majorBidi" w:cstheme="majorBidi"/>
          <w:sz w:val="24"/>
          <w:szCs w:val="24"/>
        </w:rPr>
        <w:lastRenderedPageBreak/>
        <w:t>of modification of these factors on the prevalence of MNE in Egypt is to be determined.</w:t>
      </w:r>
    </w:p>
    <w:p w:rsidR="00B03F14" w:rsidRPr="009D7A25" w:rsidRDefault="00B03F14" w:rsidP="00A554E5">
      <w:pPr>
        <w:bidi w:val="0"/>
        <w:spacing w:after="192" w:line="254" w:lineRule="auto"/>
        <w:ind w:left="-2"/>
        <w:jc w:val="both"/>
        <w:rPr>
          <w:rFonts w:asciiTheme="majorBidi" w:hAnsiTheme="majorBidi" w:cstheme="majorBidi"/>
          <w:sz w:val="24"/>
          <w:szCs w:val="24"/>
        </w:rPr>
      </w:pPr>
      <w:r w:rsidRPr="009D7A25">
        <w:rPr>
          <w:rFonts w:asciiTheme="majorBidi" w:hAnsiTheme="majorBidi" w:cstheme="majorBidi"/>
          <w:b/>
          <w:sz w:val="24"/>
          <w:szCs w:val="24"/>
        </w:rPr>
        <w:t>Author’s contribution</w:t>
      </w:r>
      <w:r w:rsidR="009D7A25" w:rsidRPr="009D7A25">
        <w:rPr>
          <w:rFonts w:asciiTheme="majorBidi" w:hAnsiTheme="majorBidi" w:cstheme="majorBidi"/>
          <w:b/>
          <w:sz w:val="24"/>
          <w:szCs w:val="24"/>
        </w:rPr>
        <w:t xml:space="preserve"> </w:t>
      </w:r>
      <w:r w:rsidRPr="009D7A25">
        <w:rPr>
          <w:rFonts w:asciiTheme="majorBidi" w:hAnsiTheme="majorBidi" w:cstheme="majorBidi"/>
          <w:sz w:val="24"/>
          <w:szCs w:val="24"/>
        </w:rPr>
        <w:t>Hamed AF: protocol development, data collection; Yousf F: data analysis; Hussein MM: protocol development, manuscript writing.</w:t>
      </w:r>
    </w:p>
    <w:p w:rsidR="00B03F14" w:rsidRPr="009D7A25" w:rsidRDefault="00B03F14" w:rsidP="00A554E5">
      <w:pPr>
        <w:bidi w:val="0"/>
        <w:spacing w:after="191" w:line="259" w:lineRule="auto"/>
        <w:jc w:val="both"/>
        <w:rPr>
          <w:rFonts w:asciiTheme="majorBidi" w:hAnsiTheme="majorBidi" w:cstheme="majorBidi"/>
          <w:sz w:val="24"/>
          <w:szCs w:val="24"/>
        </w:rPr>
      </w:pPr>
      <w:r w:rsidRPr="009D7A25">
        <w:rPr>
          <w:rFonts w:asciiTheme="majorBidi" w:hAnsiTheme="majorBidi" w:cstheme="majorBidi"/>
          <w:b/>
          <w:sz w:val="24"/>
          <w:szCs w:val="24"/>
        </w:rPr>
        <w:t>Compliance with ethical standards</w:t>
      </w:r>
    </w:p>
    <w:p w:rsidR="00B03F14" w:rsidRPr="009D7A25" w:rsidRDefault="00B03F14" w:rsidP="00A554E5">
      <w:pPr>
        <w:bidi w:val="0"/>
        <w:spacing w:after="463" w:line="254" w:lineRule="auto"/>
        <w:ind w:left="-2"/>
        <w:jc w:val="both"/>
        <w:rPr>
          <w:rFonts w:asciiTheme="majorBidi" w:hAnsiTheme="majorBidi" w:cstheme="majorBidi"/>
          <w:sz w:val="24"/>
          <w:szCs w:val="24"/>
        </w:rPr>
      </w:pPr>
      <w:r w:rsidRPr="009D7A25">
        <w:rPr>
          <w:rFonts w:asciiTheme="majorBidi" w:hAnsiTheme="majorBidi" w:cstheme="majorBidi"/>
          <w:b/>
          <w:sz w:val="24"/>
          <w:szCs w:val="24"/>
        </w:rPr>
        <w:t>Conflict of interest</w:t>
      </w:r>
      <w:r w:rsidRPr="009D7A25">
        <w:rPr>
          <w:rFonts w:asciiTheme="majorBidi" w:hAnsiTheme="majorBidi" w:cstheme="majorBidi"/>
          <w:sz w:val="24"/>
          <w:szCs w:val="24"/>
        </w:rPr>
        <w:t xml:space="preserve"> The authors declare that they have no conflict of interest.</w:t>
      </w:r>
    </w:p>
    <w:p w:rsidR="009D7A25" w:rsidRPr="00A554E5" w:rsidRDefault="009D7A25" w:rsidP="009D7A25">
      <w:pPr>
        <w:pStyle w:val="Heading1"/>
        <w:spacing w:after="175"/>
        <w:ind w:left="8"/>
        <w:rPr>
          <w:rFonts w:asciiTheme="majorBidi" w:hAnsiTheme="majorBidi" w:cstheme="majorBidi"/>
          <w:color w:val="auto"/>
          <w:sz w:val="28"/>
          <w:szCs w:val="28"/>
          <w:u w:val="single"/>
        </w:rPr>
      </w:pPr>
      <w:r w:rsidRPr="00A554E5">
        <w:rPr>
          <w:rFonts w:asciiTheme="majorBidi" w:hAnsiTheme="majorBidi" w:cstheme="majorBidi"/>
          <w:color w:val="auto"/>
          <w:sz w:val="28"/>
          <w:szCs w:val="28"/>
          <w:u w:val="single"/>
        </w:rPr>
        <w:t>References</w:t>
      </w:r>
      <w:r w:rsidR="00A554E5">
        <w:rPr>
          <w:rFonts w:asciiTheme="majorBidi" w:hAnsiTheme="majorBidi" w:cstheme="majorBidi"/>
          <w:color w:val="auto"/>
          <w:sz w:val="28"/>
          <w:szCs w:val="28"/>
          <w:u w:val="single"/>
        </w:rPr>
        <w:t>:</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Neveus</w:t>
      </w:r>
      <w:proofErr w:type="spellEnd"/>
      <w:r w:rsidRPr="009D7A25">
        <w:rPr>
          <w:rFonts w:asciiTheme="majorBidi" w:hAnsiTheme="majorBidi" w:cstheme="majorBidi"/>
          <w:sz w:val="24"/>
          <w:szCs w:val="24"/>
        </w:rPr>
        <w:t xml:space="preserve"> T, von </w:t>
      </w:r>
      <w:proofErr w:type="spellStart"/>
      <w:r w:rsidRPr="009D7A25">
        <w:rPr>
          <w:rFonts w:asciiTheme="majorBidi" w:hAnsiTheme="majorBidi" w:cstheme="majorBidi"/>
          <w:sz w:val="24"/>
          <w:szCs w:val="24"/>
        </w:rPr>
        <w:t>Gontard</w:t>
      </w:r>
      <w:proofErr w:type="spellEnd"/>
      <w:r w:rsidRPr="009D7A25">
        <w:rPr>
          <w:rFonts w:asciiTheme="majorBidi" w:hAnsiTheme="majorBidi" w:cstheme="majorBidi"/>
          <w:sz w:val="24"/>
          <w:szCs w:val="24"/>
        </w:rPr>
        <w:t xml:space="preserve"> A, </w:t>
      </w:r>
      <w:proofErr w:type="spellStart"/>
      <w:r w:rsidRPr="009D7A25">
        <w:rPr>
          <w:rFonts w:asciiTheme="majorBidi" w:hAnsiTheme="majorBidi" w:cstheme="majorBidi"/>
          <w:sz w:val="24"/>
          <w:szCs w:val="24"/>
        </w:rPr>
        <w:t>Hoebeke</w:t>
      </w:r>
      <w:proofErr w:type="spellEnd"/>
      <w:r w:rsidRPr="009D7A25">
        <w:rPr>
          <w:rFonts w:asciiTheme="majorBidi" w:hAnsiTheme="majorBidi" w:cstheme="majorBidi"/>
          <w:sz w:val="24"/>
          <w:szCs w:val="24"/>
        </w:rPr>
        <w:t xml:space="preserve"> P et al (2006) The standardization of terminology of lower urinary tract function in children and adolescents: report from the </w:t>
      </w:r>
      <w:proofErr w:type="spellStart"/>
      <w:r w:rsidRPr="009D7A25">
        <w:rPr>
          <w:rFonts w:asciiTheme="majorBidi" w:hAnsiTheme="majorBidi" w:cstheme="majorBidi"/>
          <w:sz w:val="24"/>
          <w:szCs w:val="24"/>
        </w:rPr>
        <w:t>Standardisation</w:t>
      </w:r>
      <w:proofErr w:type="spellEnd"/>
      <w:r w:rsidRPr="009D7A25">
        <w:rPr>
          <w:rFonts w:asciiTheme="majorBidi" w:hAnsiTheme="majorBidi" w:cstheme="majorBidi"/>
          <w:sz w:val="24"/>
          <w:szCs w:val="24"/>
        </w:rPr>
        <w:t xml:space="preserve"> Committee of the International Children’s Continence Society. J </w:t>
      </w:r>
      <w:proofErr w:type="spellStart"/>
      <w:r w:rsidRPr="009D7A25">
        <w:rPr>
          <w:rFonts w:asciiTheme="majorBidi" w:hAnsiTheme="majorBidi" w:cstheme="majorBidi"/>
          <w:sz w:val="24"/>
          <w:szCs w:val="24"/>
        </w:rPr>
        <w:t>Urol</w:t>
      </w:r>
      <w:proofErr w:type="spellEnd"/>
      <w:r w:rsidRPr="009D7A25">
        <w:rPr>
          <w:rFonts w:asciiTheme="majorBidi" w:hAnsiTheme="majorBidi" w:cstheme="majorBidi"/>
          <w:sz w:val="24"/>
          <w:szCs w:val="24"/>
        </w:rPr>
        <w:t xml:space="preserve"> 176:314–324</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Naitoh</w:t>
      </w:r>
      <w:proofErr w:type="spellEnd"/>
      <w:r w:rsidRPr="009D7A25">
        <w:rPr>
          <w:rFonts w:asciiTheme="majorBidi" w:hAnsiTheme="majorBidi" w:cstheme="majorBidi"/>
          <w:sz w:val="24"/>
          <w:szCs w:val="24"/>
        </w:rPr>
        <w:t xml:space="preserve"> Y, </w:t>
      </w:r>
      <w:proofErr w:type="spellStart"/>
      <w:r w:rsidRPr="009D7A25">
        <w:rPr>
          <w:rFonts w:asciiTheme="majorBidi" w:hAnsiTheme="majorBidi" w:cstheme="majorBidi"/>
          <w:sz w:val="24"/>
          <w:szCs w:val="24"/>
        </w:rPr>
        <w:t>Kawauchi</w:t>
      </w:r>
      <w:proofErr w:type="spellEnd"/>
      <w:r w:rsidRPr="009D7A25">
        <w:rPr>
          <w:rFonts w:asciiTheme="majorBidi" w:hAnsiTheme="majorBidi" w:cstheme="majorBidi"/>
          <w:sz w:val="24"/>
          <w:szCs w:val="24"/>
        </w:rPr>
        <w:t xml:space="preserve"> A, </w:t>
      </w:r>
      <w:proofErr w:type="spellStart"/>
      <w:r w:rsidRPr="009D7A25">
        <w:rPr>
          <w:rFonts w:asciiTheme="majorBidi" w:hAnsiTheme="majorBidi" w:cstheme="majorBidi"/>
          <w:sz w:val="24"/>
          <w:szCs w:val="24"/>
        </w:rPr>
        <w:t>Soh</w:t>
      </w:r>
      <w:proofErr w:type="spellEnd"/>
      <w:r w:rsidRPr="009D7A25">
        <w:rPr>
          <w:rFonts w:asciiTheme="majorBidi" w:hAnsiTheme="majorBidi" w:cstheme="majorBidi"/>
          <w:sz w:val="24"/>
          <w:szCs w:val="24"/>
        </w:rPr>
        <w:t xml:space="preserve"> J, </w:t>
      </w:r>
      <w:proofErr w:type="spellStart"/>
      <w:r w:rsidRPr="009D7A25">
        <w:rPr>
          <w:rFonts w:asciiTheme="majorBidi" w:hAnsiTheme="majorBidi" w:cstheme="majorBidi"/>
          <w:sz w:val="24"/>
          <w:szCs w:val="24"/>
        </w:rPr>
        <w:t>Kamoi</w:t>
      </w:r>
      <w:proofErr w:type="spellEnd"/>
      <w:r w:rsidRPr="009D7A25">
        <w:rPr>
          <w:rFonts w:asciiTheme="majorBidi" w:hAnsiTheme="majorBidi" w:cstheme="majorBidi"/>
          <w:sz w:val="24"/>
          <w:szCs w:val="24"/>
        </w:rPr>
        <w:t xml:space="preserve"> K, Miki T (2012) Health related quality of life for </w:t>
      </w:r>
      <w:proofErr w:type="spellStart"/>
      <w:r w:rsidRPr="009D7A25">
        <w:rPr>
          <w:rFonts w:asciiTheme="majorBidi" w:hAnsiTheme="majorBidi" w:cstheme="majorBidi"/>
          <w:sz w:val="24"/>
          <w:szCs w:val="24"/>
        </w:rPr>
        <w:t>monosymptomaticenuretic</w:t>
      </w:r>
      <w:proofErr w:type="spellEnd"/>
      <w:r w:rsidRPr="009D7A25">
        <w:rPr>
          <w:rFonts w:asciiTheme="majorBidi" w:hAnsiTheme="majorBidi" w:cstheme="majorBidi"/>
          <w:sz w:val="24"/>
          <w:szCs w:val="24"/>
        </w:rPr>
        <w:t xml:space="preserve"> children and their mothers. J </w:t>
      </w:r>
      <w:proofErr w:type="spellStart"/>
      <w:r w:rsidRPr="009D7A25">
        <w:rPr>
          <w:rFonts w:asciiTheme="majorBidi" w:hAnsiTheme="majorBidi" w:cstheme="majorBidi"/>
          <w:sz w:val="24"/>
          <w:szCs w:val="24"/>
        </w:rPr>
        <w:t>Urol</w:t>
      </w:r>
      <w:proofErr w:type="spellEnd"/>
      <w:r w:rsidRPr="009D7A25">
        <w:rPr>
          <w:rFonts w:asciiTheme="majorBidi" w:hAnsiTheme="majorBidi" w:cstheme="majorBidi"/>
          <w:sz w:val="24"/>
          <w:szCs w:val="24"/>
        </w:rPr>
        <w:t xml:space="preserve"> 188:1910–1914</w:t>
      </w:r>
    </w:p>
    <w:p w:rsidR="009D7A25" w:rsidRPr="00A554E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Sureshkumar</w:t>
      </w:r>
      <w:proofErr w:type="spellEnd"/>
      <w:r w:rsidRPr="009D7A25">
        <w:rPr>
          <w:rFonts w:asciiTheme="majorBidi" w:hAnsiTheme="majorBidi" w:cstheme="majorBidi"/>
          <w:sz w:val="24"/>
          <w:szCs w:val="24"/>
        </w:rPr>
        <w:t xml:space="preserve"> P, Jones M, Caldwell PH, Craig JC (2009) Risk factors for nocturnal enuresis in school-age children. J </w:t>
      </w:r>
      <w:proofErr w:type="spellStart"/>
      <w:r w:rsidRPr="009D7A25">
        <w:rPr>
          <w:rFonts w:asciiTheme="majorBidi" w:hAnsiTheme="majorBidi" w:cstheme="majorBidi"/>
          <w:sz w:val="24"/>
          <w:szCs w:val="24"/>
        </w:rPr>
        <w:t>Urol</w:t>
      </w:r>
      <w:proofErr w:type="spellEnd"/>
      <w:r w:rsidR="00A554E5">
        <w:rPr>
          <w:rFonts w:asciiTheme="majorBidi" w:hAnsiTheme="majorBidi" w:cstheme="majorBidi"/>
          <w:sz w:val="24"/>
          <w:szCs w:val="24"/>
        </w:rPr>
        <w:t xml:space="preserve"> </w:t>
      </w:r>
      <w:r w:rsidRPr="00A554E5">
        <w:rPr>
          <w:rFonts w:asciiTheme="majorBidi" w:hAnsiTheme="majorBidi" w:cstheme="majorBidi"/>
          <w:sz w:val="24"/>
          <w:szCs w:val="24"/>
        </w:rPr>
        <w:t>182:2893–2899</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Jalkut</w:t>
      </w:r>
      <w:proofErr w:type="spellEnd"/>
      <w:r w:rsidRPr="009D7A25">
        <w:rPr>
          <w:rFonts w:asciiTheme="majorBidi" w:hAnsiTheme="majorBidi" w:cstheme="majorBidi"/>
          <w:sz w:val="24"/>
          <w:szCs w:val="24"/>
        </w:rPr>
        <w:t xml:space="preserve"> MW, </w:t>
      </w:r>
      <w:proofErr w:type="spellStart"/>
      <w:r w:rsidRPr="009D7A25">
        <w:rPr>
          <w:rFonts w:asciiTheme="majorBidi" w:hAnsiTheme="majorBidi" w:cstheme="majorBidi"/>
          <w:sz w:val="24"/>
          <w:szCs w:val="24"/>
        </w:rPr>
        <w:t>Lerman</w:t>
      </w:r>
      <w:proofErr w:type="spellEnd"/>
      <w:r w:rsidRPr="009D7A25">
        <w:rPr>
          <w:rFonts w:asciiTheme="majorBidi" w:hAnsiTheme="majorBidi" w:cstheme="majorBidi"/>
          <w:sz w:val="24"/>
          <w:szCs w:val="24"/>
        </w:rPr>
        <w:t xml:space="preserve"> SE, Churchill BM (2001) Enuresis. </w:t>
      </w:r>
      <w:proofErr w:type="spellStart"/>
      <w:r w:rsidRPr="009D7A25">
        <w:rPr>
          <w:rFonts w:asciiTheme="majorBidi" w:hAnsiTheme="majorBidi" w:cstheme="majorBidi"/>
          <w:sz w:val="24"/>
          <w:szCs w:val="24"/>
        </w:rPr>
        <w:t>PediatrClin</w:t>
      </w:r>
      <w:proofErr w:type="spellEnd"/>
      <w:r w:rsidRPr="009D7A25">
        <w:rPr>
          <w:rFonts w:asciiTheme="majorBidi" w:hAnsiTheme="majorBidi" w:cstheme="majorBidi"/>
          <w:sz w:val="24"/>
          <w:szCs w:val="24"/>
        </w:rPr>
        <w:t xml:space="preserve"> N Am 48:1461–1488</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Harari</w:t>
      </w:r>
      <w:proofErr w:type="spellEnd"/>
      <w:r w:rsidRPr="009D7A25">
        <w:rPr>
          <w:rFonts w:asciiTheme="majorBidi" w:hAnsiTheme="majorBidi" w:cstheme="majorBidi"/>
          <w:sz w:val="24"/>
          <w:szCs w:val="24"/>
        </w:rPr>
        <w:t xml:space="preserve"> MD (2013) Nocturnal enuresis. J </w:t>
      </w:r>
      <w:proofErr w:type="spellStart"/>
      <w:r w:rsidRPr="009D7A25">
        <w:rPr>
          <w:rFonts w:asciiTheme="majorBidi" w:hAnsiTheme="majorBidi" w:cstheme="majorBidi"/>
          <w:sz w:val="24"/>
          <w:szCs w:val="24"/>
        </w:rPr>
        <w:t>Paediatr</w:t>
      </w:r>
      <w:proofErr w:type="spellEnd"/>
      <w:r w:rsidRPr="009D7A25">
        <w:rPr>
          <w:rFonts w:asciiTheme="majorBidi" w:hAnsiTheme="majorBidi" w:cstheme="majorBidi"/>
          <w:sz w:val="24"/>
          <w:szCs w:val="24"/>
        </w:rPr>
        <w:t xml:space="preserve"> Child Health 49:264–271</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Aljefri</w:t>
      </w:r>
      <w:proofErr w:type="spellEnd"/>
      <w:r w:rsidRPr="009D7A25">
        <w:rPr>
          <w:rFonts w:asciiTheme="majorBidi" w:hAnsiTheme="majorBidi" w:cstheme="majorBidi"/>
          <w:sz w:val="24"/>
          <w:szCs w:val="24"/>
        </w:rPr>
        <w:t xml:space="preserve"> HM, </w:t>
      </w:r>
      <w:proofErr w:type="spellStart"/>
      <w:r w:rsidRPr="009D7A25">
        <w:rPr>
          <w:rFonts w:asciiTheme="majorBidi" w:hAnsiTheme="majorBidi" w:cstheme="majorBidi"/>
          <w:sz w:val="24"/>
          <w:szCs w:val="24"/>
        </w:rPr>
        <w:t>Basurreh</w:t>
      </w:r>
      <w:proofErr w:type="spellEnd"/>
      <w:r w:rsidRPr="009D7A25">
        <w:rPr>
          <w:rFonts w:asciiTheme="majorBidi" w:hAnsiTheme="majorBidi" w:cstheme="majorBidi"/>
          <w:sz w:val="24"/>
          <w:szCs w:val="24"/>
        </w:rPr>
        <w:t xml:space="preserve"> OA, </w:t>
      </w:r>
      <w:proofErr w:type="spellStart"/>
      <w:r w:rsidRPr="009D7A25">
        <w:rPr>
          <w:rFonts w:asciiTheme="majorBidi" w:hAnsiTheme="majorBidi" w:cstheme="majorBidi"/>
          <w:sz w:val="24"/>
          <w:szCs w:val="24"/>
        </w:rPr>
        <w:t>Yunus</w:t>
      </w:r>
      <w:proofErr w:type="spellEnd"/>
      <w:r w:rsidRPr="009D7A25">
        <w:rPr>
          <w:rFonts w:asciiTheme="majorBidi" w:hAnsiTheme="majorBidi" w:cstheme="majorBidi"/>
          <w:sz w:val="24"/>
          <w:szCs w:val="24"/>
        </w:rPr>
        <w:t xml:space="preserve"> F, </w:t>
      </w:r>
      <w:proofErr w:type="spellStart"/>
      <w:r w:rsidRPr="009D7A25">
        <w:rPr>
          <w:rFonts w:asciiTheme="majorBidi" w:hAnsiTheme="majorBidi" w:cstheme="majorBidi"/>
          <w:sz w:val="24"/>
          <w:szCs w:val="24"/>
        </w:rPr>
        <w:t>Bawazir</w:t>
      </w:r>
      <w:proofErr w:type="spellEnd"/>
      <w:r w:rsidRPr="009D7A25">
        <w:rPr>
          <w:rFonts w:asciiTheme="majorBidi" w:hAnsiTheme="majorBidi" w:cstheme="majorBidi"/>
          <w:sz w:val="24"/>
          <w:szCs w:val="24"/>
        </w:rPr>
        <w:t xml:space="preserve"> AA (2013) Nocturnal enuresis among primary school children. Saudi J Kidney </w:t>
      </w:r>
      <w:proofErr w:type="spellStart"/>
      <w:r w:rsidRPr="009D7A25">
        <w:rPr>
          <w:rFonts w:asciiTheme="majorBidi" w:hAnsiTheme="majorBidi" w:cstheme="majorBidi"/>
          <w:sz w:val="24"/>
          <w:szCs w:val="24"/>
        </w:rPr>
        <w:t>Dis</w:t>
      </w:r>
      <w:proofErr w:type="spellEnd"/>
      <w:r w:rsidRPr="009D7A25">
        <w:rPr>
          <w:rFonts w:asciiTheme="majorBidi" w:hAnsiTheme="majorBidi" w:cstheme="majorBidi"/>
          <w:sz w:val="24"/>
          <w:szCs w:val="24"/>
        </w:rPr>
        <w:t xml:space="preserve"> Transplant 24:1233–1241</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Gunes</w:t>
      </w:r>
      <w:proofErr w:type="spellEnd"/>
      <w:r w:rsidRPr="009D7A25">
        <w:rPr>
          <w:rFonts w:asciiTheme="majorBidi" w:hAnsiTheme="majorBidi" w:cstheme="majorBidi"/>
          <w:sz w:val="24"/>
          <w:szCs w:val="24"/>
        </w:rPr>
        <w:t xml:space="preserve"> A, </w:t>
      </w:r>
      <w:proofErr w:type="spellStart"/>
      <w:r w:rsidRPr="009D7A25">
        <w:rPr>
          <w:rFonts w:asciiTheme="majorBidi" w:hAnsiTheme="majorBidi" w:cstheme="majorBidi"/>
          <w:sz w:val="24"/>
          <w:szCs w:val="24"/>
        </w:rPr>
        <w:t>Gunes</w:t>
      </w:r>
      <w:proofErr w:type="spellEnd"/>
      <w:r w:rsidRPr="009D7A25">
        <w:rPr>
          <w:rFonts w:asciiTheme="majorBidi" w:hAnsiTheme="majorBidi" w:cstheme="majorBidi"/>
          <w:sz w:val="24"/>
          <w:szCs w:val="24"/>
        </w:rPr>
        <w:t xml:space="preserve"> G, </w:t>
      </w:r>
      <w:proofErr w:type="spellStart"/>
      <w:r w:rsidRPr="009D7A25">
        <w:rPr>
          <w:rFonts w:asciiTheme="majorBidi" w:hAnsiTheme="majorBidi" w:cstheme="majorBidi"/>
          <w:sz w:val="24"/>
          <w:szCs w:val="24"/>
        </w:rPr>
        <w:t>Acik</w:t>
      </w:r>
      <w:proofErr w:type="spellEnd"/>
      <w:r w:rsidRPr="009D7A25">
        <w:rPr>
          <w:rFonts w:asciiTheme="majorBidi" w:hAnsiTheme="majorBidi" w:cstheme="majorBidi"/>
          <w:sz w:val="24"/>
          <w:szCs w:val="24"/>
        </w:rPr>
        <w:t xml:space="preserve"> Y, </w:t>
      </w:r>
      <w:proofErr w:type="spellStart"/>
      <w:r w:rsidRPr="009D7A25">
        <w:rPr>
          <w:rFonts w:asciiTheme="majorBidi" w:hAnsiTheme="majorBidi" w:cstheme="majorBidi"/>
          <w:sz w:val="24"/>
          <w:szCs w:val="24"/>
        </w:rPr>
        <w:t>Akilli</w:t>
      </w:r>
      <w:proofErr w:type="spellEnd"/>
      <w:r w:rsidRPr="009D7A25">
        <w:rPr>
          <w:rFonts w:asciiTheme="majorBidi" w:hAnsiTheme="majorBidi" w:cstheme="majorBidi"/>
          <w:sz w:val="24"/>
          <w:szCs w:val="24"/>
        </w:rPr>
        <w:t xml:space="preserve"> A (2009) The epidemiology and factors associated with nocturnal enuresis among boarding and daytime school children in southeast of Turkey: a cross sectional study. BMC Public Health 9:357</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Bakhtiar</w:t>
      </w:r>
      <w:proofErr w:type="spellEnd"/>
      <w:r w:rsidRPr="009D7A25">
        <w:rPr>
          <w:rFonts w:asciiTheme="majorBidi" w:hAnsiTheme="majorBidi" w:cstheme="majorBidi"/>
          <w:sz w:val="24"/>
          <w:szCs w:val="24"/>
        </w:rPr>
        <w:t xml:space="preserve"> K, </w:t>
      </w:r>
      <w:proofErr w:type="spellStart"/>
      <w:r w:rsidRPr="009D7A25">
        <w:rPr>
          <w:rFonts w:asciiTheme="majorBidi" w:hAnsiTheme="majorBidi" w:cstheme="majorBidi"/>
          <w:sz w:val="24"/>
          <w:szCs w:val="24"/>
        </w:rPr>
        <w:t>Pournia</w:t>
      </w:r>
      <w:proofErr w:type="spellEnd"/>
      <w:r w:rsidRPr="009D7A25">
        <w:rPr>
          <w:rFonts w:asciiTheme="majorBidi" w:hAnsiTheme="majorBidi" w:cstheme="majorBidi"/>
          <w:sz w:val="24"/>
          <w:szCs w:val="24"/>
        </w:rPr>
        <w:t xml:space="preserve"> Y, </w:t>
      </w:r>
      <w:proofErr w:type="spellStart"/>
      <w:r w:rsidRPr="009D7A25">
        <w:rPr>
          <w:rFonts w:asciiTheme="majorBidi" w:hAnsiTheme="majorBidi" w:cstheme="majorBidi"/>
          <w:sz w:val="24"/>
          <w:szCs w:val="24"/>
        </w:rPr>
        <w:t>Ebrahimzadeh</w:t>
      </w:r>
      <w:proofErr w:type="spellEnd"/>
      <w:r w:rsidRPr="009D7A25">
        <w:rPr>
          <w:rFonts w:asciiTheme="majorBidi" w:hAnsiTheme="majorBidi" w:cstheme="majorBidi"/>
          <w:sz w:val="24"/>
          <w:szCs w:val="24"/>
        </w:rPr>
        <w:t xml:space="preserve"> F, </w:t>
      </w:r>
      <w:proofErr w:type="spellStart"/>
      <w:r w:rsidRPr="009D7A25">
        <w:rPr>
          <w:rFonts w:asciiTheme="majorBidi" w:hAnsiTheme="majorBidi" w:cstheme="majorBidi"/>
          <w:sz w:val="24"/>
          <w:szCs w:val="24"/>
        </w:rPr>
        <w:t>Farhadi</w:t>
      </w:r>
      <w:proofErr w:type="spellEnd"/>
      <w:r w:rsidRPr="009D7A25">
        <w:rPr>
          <w:rFonts w:asciiTheme="majorBidi" w:hAnsiTheme="majorBidi" w:cstheme="majorBidi"/>
          <w:sz w:val="24"/>
          <w:szCs w:val="24"/>
        </w:rPr>
        <w:t xml:space="preserve"> A, </w:t>
      </w:r>
      <w:proofErr w:type="spellStart"/>
      <w:r w:rsidRPr="009D7A25">
        <w:rPr>
          <w:rFonts w:asciiTheme="majorBidi" w:hAnsiTheme="majorBidi" w:cstheme="majorBidi"/>
          <w:sz w:val="24"/>
          <w:szCs w:val="24"/>
        </w:rPr>
        <w:t>Shafizadeh</w:t>
      </w:r>
      <w:proofErr w:type="spellEnd"/>
      <w:r w:rsidRPr="009D7A25">
        <w:rPr>
          <w:rFonts w:asciiTheme="majorBidi" w:hAnsiTheme="majorBidi" w:cstheme="majorBidi"/>
          <w:sz w:val="24"/>
          <w:szCs w:val="24"/>
        </w:rPr>
        <w:t xml:space="preserve"> F, </w:t>
      </w:r>
      <w:proofErr w:type="spellStart"/>
      <w:r w:rsidRPr="009D7A25">
        <w:rPr>
          <w:rFonts w:asciiTheme="majorBidi" w:hAnsiTheme="majorBidi" w:cstheme="majorBidi"/>
          <w:sz w:val="24"/>
          <w:szCs w:val="24"/>
        </w:rPr>
        <w:t>Hosseinabadi</w:t>
      </w:r>
      <w:proofErr w:type="spellEnd"/>
      <w:r w:rsidRPr="009D7A25">
        <w:rPr>
          <w:rFonts w:asciiTheme="majorBidi" w:hAnsiTheme="majorBidi" w:cstheme="majorBidi"/>
          <w:sz w:val="24"/>
          <w:szCs w:val="24"/>
        </w:rPr>
        <w:t xml:space="preserve"> R (2014) Prevalence of nocturnal enuresis and its associated factors in primary school and preschool children of </w:t>
      </w:r>
      <w:proofErr w:type="spellStart"/>
      <w:r w:rsidRPr="009D7A25">
        <w:rPr>
          <w:rFonts w:asciiTheme="majorBidi" w:hAnsiTheme="majorBidi" w:cstheme="majorBidi"/>
          <w:sz w:val="24"/>
          <w:szCs w:val="24"/>
        </w:rPr>
        <w:t>khorramabad</w:t>
      </w:r>
      <w:proofErr w:type="spellEnd"/>
      <w:r w:rsidRPr="009D7A25">
        <w:rPr>
          <w:rFonts w:asciiTheme="majorBidi" w:hAnsiTheme="majorBidi" w:cstheme="majorBidi"/>
          <w:sz w:val="24"/>
          <w:szCs w:val="24"/>
        </w:rPr>
        <w:t xml:space="preserve"> in 2013. </w:t>
      </w:r>
      <w:proofErr w:type="spellStart"/>
      <w:r w:rsidRPr="009D7A25">
        <w:rPr>
          <w:rFonts w:asciiTheme="majorBidi" w:hAnsiTheme="majorBidi" w:cstheme="majorBidi"/>
          <w:sz w:val="24"/>
          <w:szCs w:val="24"/>
        </w:rPr>
        <w:t>Int</w:t>
      </w:r>
      <w:proofErr w:type="spellEnd"/>
      <w:r w:rsidRPr="009D7A25">
        <w:rPr>
          <w:rFonts w:asciiTheme="majorBidi" w:hAnsiTheme="majorBidi" w:cstheme="majorBidi"/>
          <w:sz w:val="24"/>
          <w:szCs w:val="24"/>
        </w:rPr>
        <w:t xml:space="preserve"> J </w:t>
      </w:r>
      <w:proofErr w:type="spellStart"/>
      <w:r w:rsidRPr="009D7A25">
        <w:rPr>
          <w:rFonts w:asciiTheme="majorBidi" w:hAnsiTheme="majorBidi" w:cstheme="majorBidi"/>
          <w:sz w:val="24"/>
          <w:szCs w:val="24"/>
        </w:rPr>
        <w:t>Pediatr</w:t>
      </w:r>
      <w:proofErr w:type="spellEnd"/>
      <w:r w:rsidRPr="009D7A25">
        <w:rPr>
          <w:rFonts w:asciiTheme="majorBidi" w:hAnsiTheme="majorBidi" w:cstheme="majorBidi"/>
          <w:sz w:val="24"/>
          <w:szCs w:val="24"/>
        </w:rPr>
        <w:t>. doi:</w:t>
      </w:r>
      <w:hyperlink r:id="rId5">
        <w:r w:rsidRPr="009D7A25">
          <w:rPr>
            <w:rFonts w:asciiTheme="majorBidi" w:hAnsiTheme="majorBidi" w:cstheme="majorBidi"/>
            <w:sz w:val="24"/>
            <w:szCs w:val="24"/>
          </w:rPr>
          <w:t>10.1155/2014/120686</w:t>
        </w:r>
      </w:hyperlink>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Yousef</w:t>
      </w:r>
      <w:proofErr w:type="spellEnd"/>
      <w:r w:rsidRPr="009D7A25">
        <w:rPr>
          <w:rFonts w:asciiTheme="majorBidi" w:hAnsiTheme="majorBidi" w:cstheme="majorBidi"/>
          <w:sz w:val="24"/>
          <w:szCs w:val="24"/>
        </w:rPr>
        <w:t xml:space="preserve"> KA, </w:t>
      </w:r>
      <w:proofErr w:type="spellStart"/>
      <w:r w:rsidRPr="009D7A25">
        <w:rPr>
          <w:rFonts w:asciiTheme="majorBidi" w:hAnsiTheme="majorBidi" w:cstheme="majorBidi"/>
          <w:sz w:val="24"/>
          <w:szCs w:val="24"/>
        </w:rPr>
        <w:t>Basaleem</w:t>
      </w:r>
      <w:proofErr w:type="spellEnd"/>
      <w:r w:rsidRPr="009D7A25">
        <w:rPr>
          <w:rFonts w:asciiTheme="majorBidi" w:hAnsiTheme="majorBidi" w:cstheme="majorBidi"/>
          <w:sz w:val="24"/>
          <w:szCs w:val="24"/>
        </w:rPr>
        <w:t xml:space="preserve"> HO, bin Yahiya MT (2011) Epidemiology of nocturnal enuresis in basic schoolchildren in Aden Governorate, Yemen. Saudi J Kidney </w:t>
      </w:r>
      <w:proofErr w:type="spellStart"/>
      <w:r w:rsidRPr="009D7A25">
        <w:rPr>
          <w:rFonts w:asciiTheme="majorBidi" w:hAnsiTheme="majorBidi" w:cstheme="majorBidi"/>
          <w:sz w:val="24"/>
          <w:szCs w:val="24"/>
        </w:rPr>
        <w:t>Dis</w:t>
      </w:r>
      <w:proofErr w:type="spellEnd"/>
      <w:r w:rsidRPr="009D7A25">
        <w:rPr>
          <w:rFonts w:asciiTheme="majorBidi" w:hAnsiTheme="majorBidi" w:cstheme="majorBidi"/>
          <w:sz w:val="24"/>
          <w:szCs w:val="24"/>
        </w:rPr>
        <w:t xml:space="preserve"> Transplant 22:167–173</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Hjalmas</w:t>
      </w:r>
      <w:proofErr w:type="spellEnd"/>
      <w:r w:rsidRPr="009D7A25">
        <w:rPr>
          <w:rFonts w:asciiTheme="majorBidi" w:hAnsiTheme="majorBidi" w:cstheme="majorBidi"/>
          <w:sz w:val="24"/>
          <w:szCs w:val="24"/>
        </w:rPr>
        <w:t xml:space="preserve"> K, Arnold T, Bower W et al (2004) Nocturnal enuresis: an international evidence based management strategy. J </w:t>
      </w:r>
      <w:proofErr w:type="spellStart"/>
      <w:r w:rsidRPr="009D7A25">
        <w:rPr>
          <w:rFonts w:asciiTheme="majorBidi" w:hAnsiTheme="majorBidi" w:cstheme="majorBidi"/>
          <w:sz w:val="24"/>
          <w:szCs w:val="24"/>
        </w:rPr>
        <w:t>Urol</w:t>
      </w:r>
      <w:proofErr w:type="spellEnd"/>
    </w:p>
    <w:p w:rsidR="009D7A25" w:rsidRPr="009D7A25" w:rsidRDefault="009D7A25" w:rsidP="00A554E5">
      <w:pPr>
        <w:bidi w:val="0"/>
        <w:spacing w:after="4" w:line="254" w:lineRule="auto"/>
        <w:ind w:left="340"/>
        <w:jc w:val="both"/>
        <w:rPr>
          <w:rFonts w:asciiTheme="majorBidi" w:hAnsiTheme="majorBidi" w:cstheme="majorBidi"/>
          <w:sz w:val="24"/>
          <w:szCs w:val="24"/>
        </w:rPr>
      </w:pPr>
      <w:r w:rsidRPr="009D7A25">
        <w:rPr>
          <w:rFonts w:asciiTheme="majorBidi" w:hAnsiTheme="majorBidi" w:cstheme="majorBidi"/>
          <w:sz w:val="24"/>
          <w:szCs w:val="24"/>
        </w:rPr>
        <w:t>171:2545–2561</w:t>
      </w:r>
    </w:p>
    <w:p w:rsidR="009D7A25" w:rsidRPr="009D7A25" w:rsidRDefault="009D7A25" w:rsidP="00A554E5">
      <w:pPr>
        <w:numPr>
          <w:ilvl w:val="0"/>
          <w:numId w:val="2"/>
        </w:numPr>
        <w:bidi w:val="0"/>
        <w:spacing w:after="4" w:line="254" w:lineRule="auto"/>
        <w:ind w:hanging="340"/>
        <w:jc w:val="both"/>
        <w:rPr>
          <w:rFonts w:asciiTheme="majorBidi" w:hAnsiTheme="majorBidi" w:cstheme="majorBidi"/>
          <w:sz w:val="24"/>
          <w:szCs w:val="24"/>
        </w:rPr>
      </w:pPr>
      <w:r w:rsidRPr="009D7A25">
        <w:rPr>
          <w:rFonts w:asciiTheme="majorBidi" w:hAnsiTheme="majorBidi" w:cstheme="majorBidi"/>
          <w:sz w:val="24"/>
          <w:szCs w:val="24"/>
        </w:rPr>
        <w:t xml:space="preserve">Cher TW, Lin GJ, Hsu KH (2002) Prevalence of nocturnal enuresis and associated familial factors in primary school children in </w:t>
      </w:r>
      <w:proofErr w:type="spellStart"/>
      <w:r w:rsidRPr="009D7A25">
        <w:rPr>
          <w:rFonts w:asciiTheme="majorBidi" w:hAnsiTheme="majorBidi" w:cstheme="majorBidi"/>
          <w:sz w:val="24"/>
          <w:szCs w:val="24"/>
        </w:rPr>
        <w:t>taiwan</w:t>
      </w:r>
      <w:proofErr w:type="spellEnd"/>
      <w:r w:rsidRPr="009D7A25">
        <w:rPr>
          <w:rFonts w:asciiTheme="majorBidi" w:hAnsiTheme="majorBidi" w:cstheme="majorBidi"/>
          <w:sz w:val="24"/>
          <w:szCs w:val="24"/>
        </w:rPr>
        <w:t xml:space="preserve">. J </w:t>
      </w:r>
      <w:proofErr w:type="spellStart"/>
      <w:r w:rsidRPr="009D7A25">
        <w:rPr>
          <w:rFonts w:asciiTheme="majorBidi" w:hAnsiTheme="majorBidi" w:cstheme="majorBidi"/>
          <w:sz w:val="24"/>
          <w:szCs w:val="24"/>
        </w:rPr>
        <w:t>Urol</w:t>
      </w:r>
      <w:proofErr w:type="spellEnd"/>
      <w:r w:rsidRPr="009D7A25">
        <w:rPr>
          <w:rFonts w:asciiTheme="majorBidi" w:hAnsiTheme="majorBidi" w:cstheme="majorBidi"/>
          <w:sz w:val="24"/>
          <w:szCs w:val="24"/>
        </w:rPr>
        <w:t xml:space="preserve"> 168:1142–1146</w:t>
      </w:r>
    </w:p>
    <w:p w:rsidR="009D7A25" w:rsidRPr="009D7A25" w:rsidRDefault="00A554E5" w:rsidP="00A554E5">
      <w:pPr>
        <w:bidi w:val="0"/>
        <w:spacing w:after="4" w:line="254" w:lineRule="auto"/>
        <w:ind w:left="348" w:hanging="350"/>
        <w:jc w:val="both"/>
        <w:rPr>
          <w:rFonts w:asciiTheme="majorBidi" w:hAnsiTheme="majorBidi" w:cstheme="majorBidi"/>
          <w:sz w:val="24"/>
          <w:szCs w:val="24"/>
        </w:rPr>
      </w:pPr>
      <w:r>
        <w:rPr>
          <w:rFonts w:asciiTheme="majorBidi" w:hAnsiTheme="majorBidi" w:cstheme="majorBidi"/>
          <w:sz w:val="24"/>
          <w:szCs w:val="24"/>
        </w:rPr>
        <w:t xml:space="preserve">12 . </w:t>
      </w:r>
      <w:proofErr w:type="spellStart"/>
      <w:r w:rsidR="009D7A25" w:rsidRPr="009D7A25">
        <w:rPr>
          <w:rFonts w:asciiTheme="majorBidi" w:hAnsiTheme="majorBidi" w:cstheme="majorBidi"/>
          <w:sz w:val="24"/>
          <w:szCs w:val="24"/>
        </w:rPr>
        <w:t>Spee</w:t>
      </w:r>
      <w:proofErr w:type="spellEnd"/>
      <w:r w:rsidR="009D7A25" w:rsidRPr="009D7A25">
        <w:rPr>
          <w:rFonts w:asciiTheme="majorBidi" w:hAnsiTheme="majorBidi" w:cstheme="majorBidi"/>
          <w:sz w:val="24"/>
          <w:szCs w:val="24"/>
        </w:rPr>
        <w:t xml:space="preserve">-van </w:t>
      </w:r>
      <w:proofErr w:type="spellStart"/>
      <w:r w:rsidR="009D7A25" w:rsidRPr="009D7A25">
        <w:rPr>
          <w:rFonts w:asciiTheme="majorBidi" w:hAnsiTheme="majorBidi" w:cstheme="majorBidi"/>
          <w:sz w:val="24"/>
          <w:szCs w:val="24"/>
        </w:rPr>
        <w:t>der</w:t>
      </w:r>
      <w:proofErr w:type="spellEnd"/>
      <w:r w:rsidR="009D7A25" w:rsidRPr="009D7A25">
        <w:rPr>
          <w:rFonts w:asciiTheme="majorBidi" w:hAnsiTheme="majorBidi" w:cstheme="majorBidi"/>
          <w:sz w:val="24"/>
          <w:szCs w:val="24"/>
        </w:rPr>
        <w:t xml:space="preserve"> </w:t>
      </w:r>
      <w:proofErr w:type="spellStart"/>
      <w:r w:rsidR="009D7A25" w:rsidRPr="009D7A25">
        <w:rPr>
          <w:rFonts w:asciiTheme="majorBidi" w:hAnsiTheme="majorBidi" w:cstheme="majorBidi"/>
          <w:sz w:val="24"/>
          <w:szCs w:val="24"/>
        </w:rPr>
        <w:t>Wekke</w:t>
      </w:r>
      <w:proofErr w:type="spellEnd"/>
      <w:r w:rsidR="009D7A25" w:rsidRPr="009D7A25">
        <w:rPr>
          <w:rFonts w:asciiTheme="majorBidi" w:hAnsiTheme="majorBidi" w:cstheme="majorBidi"/>
          <w:sz w:val="24"/>
          <w:szCs w:val="24"/>
        </w:rPr>
        <w:t xml:space="preserve"> J, </w:t>
      </w:r>
      <w:proofErr w:type="spellStart"/>
      <w:r w:rsidR="009D7A25" w:rsidRPr="009D7A25">
        <w:rPr>
          <w:rFonts w:asciiTheme="majorBidi" w:hAnsiTheme="majorBidi" w:cstheme="majorBidi"/>
          <w:sz w:val="24"/>
          <w:szCs w:val="24"/>
        </w:rPr>
        <w:t>Hirasing</w:t>
      </w:r>
      <w:proofErr w:type="spellEnd"/>
      <w:r w:rsidR="009D7A25" w:rsidRPr="009D7A25">
        <w:rPr>
          <w:rFonts w:asciiTheme="majorBidi" w:hAnsiTheme="majorBidi" w:cstheme="majorBidi"/>
          <w:sz w:val="24"/>
          <w:szCs w:val="24"/>
        </w:rPr>
        <w:t xml:space="preserve"> RA, </w:t>
      </w:r>
      <w:proofErr w:type="spellStart"/>
      <w:r w:rsidR="009D7A25" w:rsidRPr="009D7A25">
        <w:rPr>
          <w:rFonts w:asciiTheme="majorBidi" w:hAnsiTheme="majorBidi" w:cstheme="majorBidi"/>
          <w:sz w:val="24"/>
          <w:szCs w:val="24"/>
        </w:rPr>
        <w:t>Meulmeester</w:t>
      </w:r>
      <w:proofErr w:type="spellEnd"/>
      <w:r w:rsidR="009D7A25" w:rsidRPr="009D7A25">
        <w:rPr>
          <w:rFonts w:asciiTheme="majorBidi" w:hAnsiTheme="majorBidi" w:cstheme="majorBidi"/>
          <w:sz w:val="24"/>
          <w:szCs w:val="24"/>
        </w:rPr>
        <w:t xml:space="preserve"> JF, </w:t>
      </w:r>
      <w:proofErr w:type="spellStart"/>
      <w:r w:rsidR="009D7A25" w:rsidRPr="009D7A25">
        <w:rPr>
          <w:rFonts w:asciiTheme="majorBidi" w:hAnsiTheme="majorBidi" w:cstheme="majorBidi"/>
          <w:sz w:val="24"/>
          <w:szCs w:val="24"/>
        </w:rPr>
        <w:t>Radder</w:t>
      </w:r>
      <w:proofErr w:type="spellEnd"/>
      <w:r w:rsidR="009D7A25" w:rsidRPr="009D7A25">
        <w:rPr>
          <w:rFonts w:asciiTheme="majorBidi" w:hAnsiTheme="majorBidi" w:cstheme="majorBidi"/>
          <w:sz w:val="24"/>
          <w:szCs w:val="24"/>
        </w:rPr>
        <w:t xml:space="preserve"> JJ (1998) Childhood nocturnal enuresis in The Netherlands. Urology 51:1022–1026</w:t>
      </w:r>
    </w:p>
    <w:p w:rsidR="009D7A25" w:rsidRPr="009D7A25" w:rsidRDefault="009D7A25" w:rsidP="00A554E5">
      <w:pPr>
        <w:numPr>
          <w:ilvl w:val="0"/>
          <w:numId w:val="3"/>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Fockema</w:t>
      </w:r>
      <w:proofErr w:type="spellEnd"/>
      <w:r w:rsidRPr="009D7A25">
        <w:rPr>
          <w:rFonts w:asciiTheme="majorBidi" w:hAnsiTheme="majorBidi" w:cstheme="majorBidi"/>
          <w:sz w:val="24"/>
          <w:szCs w:val="24"/>
        </w:rPr>
        <w:t xml:space="preserve"> MW, Candy GP, Kruger D, </w:t>
      </w:r>
      <w:proofErr w:type="spellStart"/>
      <w:r w:rsidRPr="009D7A25">
        <w:rPr>
          <w:rFonts w:asciiTheme="majorBidi" w:hAnsiTheme="majorBidi" w:cstheme="majorBidi"/>
          <w:sz w:val="24"/>
          <w:szCs w:val="24"/>
        </w:rPr>
        <w:t>Haffejee</w:t>
      </w:r>
      <w:proofErr w:type="spellEnd"/>
      <w:r w:rsidRPr="009D7A25">
        <w:rPr>
          <w:rFonts w:asciiTheme="majorBidi" w:hAnsiTheme="majorBidi" w:cstheme="majorBidi"/>
          <w:sz w:val="24"/>
          <w:szCs w:val="24"/>
        </w:rPr>
        <w:t xml:space="preserve"> M (2012) Enuresis in South African children: prevalence, associated factors and parental perception of treatment. BJU </w:t>
      </w:r>
      <w:proofErr w:type="spellStart"/>
      <w:r w:rsidRPr="009D7A25">
        <w:rPr>
          <w:rFonts w:asciiTheme="majorBidi" w:hAnsiTheme="majorBidi" w:cstheme="majorBidi"/>
          <w:sz w:val="24"/>
          <w:szCs w:val="24"/>
        </w:rPr>
        <w:t>Int</w:t>
      </w:r>
      <w:proofErr w:type="spellEnd"/>
      <w:r w:rsidRPr="009D7A25">
        <w:rPr>
          <w:rFonts w:asciiTheme="majorBidi" w:hAnsiTheme="majorBidi" w:cstheme="majorBidi"/>
          <w:sz w:val="24"/>
          <w:szCs w:val="24"/>
        </w:rPr>
        <w:t xml:space="preserve"> 110:E1114–E1120</w:t>
      </w:r>
    </w:p>
    <w:p w:rsidR="009D7A25" w:rsidRPr="009D7A25" w:rsidRDefault="009D7A25" w:rsidP="00A554E5">
      <w:pPr>
        <w:numPr>
          <w:ilvl w:val="0"/>
          <w:numId w:val="3"/>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lastRenderedPageBreak/>
        <w:t>Yeung</w:t>
      </w:r>
      <w:proofErr w:type="spellEnd"/>
      <w:r w:rsidRPr="009D7A25">
        <w:rPr>
          <w:rFonts w:asciiTheme="majorBidi" w:hAnsiTheme="majorBidi" w:cstheme="majorBidi"/>
          <w:sz w:val="24"/>
          <w:szCs w:val="24"/>
        </w:rPr>
        <w:t xml:space="preserve"> CK, </w:t>
      </w:r>
      <w:proofErr w:type="spellStart"/>
      <w:r w:rsidRPr="009D7A25">
        <w:rPr>
          <w:rFonts w:asciiTheme="majorBidi" w:hAnsiTheme="majorBidi" w:cstheme="majorBidi"/>
          <w:sz w:val="24"/>
          <w:szCs w:val="24"/>
        </w:rPr>
        <w:t>Sreedhar</w:t>
      </w:r>
      <w:proofErr w:type="spellEnd"/>
      <w:r w:rsidRPr="009D7A25">
        <w:rPr>
          <w:rFonts w:asciiTheme="majorBidi" w:hAnsiTheme="majorBidi" w:cstheme="majorBidi"/>
          <w:sz w:val="24"/>
          <w:szCs w:val="24"/>
        </w:rPr>
        <w:t xml:space="preserve"> B, </w:t>
      </w:r>
      <w:proofErr w:type="spellStart"/>
      <w:r w:rsidRPr="009D7A25">
        <w:rPr>
          <w:rFonts w:asciiTheme="majorBidi" w:hAnsiTheme="majorBidi" w:cstheme="majorBidi"/>
          <w:sz w:val="24"/>
          <w:szCs w:val="24"/>
        </w:rPr>
        <w:t>Sihoe</w:t>
      </w:r>
      <w:proofErr w:type="spellEnd"/>
      <w:r w:rsidRPr="009D7A25">
        <w:rPr>
          <w:rFonts w:asciiTheme="majorBidi" w:hAnsiTheme="majorBidi" w:cstheme="majorBidi"/>
          <w:sz w:val="24"/>
          <w:szCs w:val="24"/>
        </w:rPr>
        <w:t xml:space="preserve"> JD, Sit FK, Lau J (2006) Differences in characteristics of nocturnal enuresis between children and adolescents: a critical appraisal from a large epidemiological study. BJU </w:t>
      </w:r>
      <w:proofErr w:type="spellStart"/>
      <w:r w:rsidRPr="009D7A25">
        <w:rPr>
          <w:rFonts w:asciiTheme="majorBidi" w:hAnsiTheme="majorBidi" w:cstheme="majorBidi"/>
          <w:sz w:val="24"/>
          <w:szCs w:val="24"/>
        </w:rPr>
        <w:t>Int</w:t>
      </w:r>
      <w:proofErr w:type="spellEnd"/>
      <w:r w:rsidRPr="009D7A25">
        <w:rPr>
          <w:rFonts w:asciiTheme="majorBidi" w:hAnsiTheme="majorBidi" w:cstheme="majorBidi"/>
          <w:sz w:val="24"/>
          <w:szCs w:val="24"/>
        </w:rPr>
        <w:t xml:space="preserve"> 97:1069–1073</w:t>
      </w:r>
    </w:p>
    <w:p w:rsidR="009D7A25" w:rsidRPr="00D13DD0" w:rsidRDefault="009D7A25" w:rsidP="00D13DD0">
      <w:pPr>
        <w:numPr>
          <w:ilvl w:val="0"/>
          <w:numId w:val="3"/>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Schum</w:t>
      </w:r>
      <w:proofErr w:type="spellEnd"/>
      <w:r w:rsidRPr="009D7A25">
        <w:rPr>
          <w:rFonts w:asciiTheme="majorBidi" w:hAnsiTheme="majorBidi" w:cstheme="majorBidi"/>
          <w:sz w:val="24"/>
          <w:szCs w:val="24"/>
        </w:rPr>
        <w:t xml:space="preserve"> TR, McAuliffe TL, Simms MD, Walter JA, Lewis M, </w:t>
      </w:r>
      <w:proofErr w:type="spellStart"/>
      <w:r w:rsidRPr="00D13DD0">
        <w:rPr>
          <w:rFonts w:asciiTheme="majorBidi" w:hAnsiTheme="majorBidi" w:cstheme="majorBidi"/>
          <w:sz w:val="24"/>
          <w:szCs w:val="24"/>
        </w:rPr>
        <w:t>Pupp</w:t>
      </w:r>
      <w:proofErr w:type="spellEnd"/>
      <w:r w:rsidRPr="00D13DD0">
        <w:rPr>
          <w:rFonts w:asciiTheme="majorBidi" w:hAnsiTheme="majorBidi" w:cstheme="majorBidi"/>
          <w:sz w:val="24"/>
          <w:szCs w:val="24"/>
        </w:rPr>
        <w:t xml:space="preserve"> R (2001) Factors associated with toilet training in the 1990s. </w:t>
      </w:r>
      <w:proofErr w:type="spellStart"/>
      <w:r w:rsidRPr="00D13DD0">
        <w:rPr>
          <w:rFonts w:asciiTheme="majorBidi" w:hAnsiTheme="majorBidi" w:cstheme="majorBidi"/>
          <w:sz w:val="24"/>
          <w:szCs w:val="24"/>
        </w:rPr>
        <w:t>AmbulPediatr</w:t>
      </w:r>
      <w:proofErr w:type="spellEnd"/>
      <w:r w:rsidRPr="00D13DD0">
        <w:rPr>
          <w:rFonts w:asciiTheme="majorBidi" w:hAnsiTheme="majorBidi" w:cstheme="majorBidi"/>
          <w:sz w:val="24"/>
          <w:szCs w:val="24"/>
        </w:rPr>
        <w:t xml:space="preserve"> 1:79–86</w:t>
      </w:r>
    </w:p>
    <w:p w:rsidR="009D7A25" w:rsidRPr="009D7A25" w:rsidRDefault="009D7A25" w:rsidP="00A554E5">
      <w:pPr>
        <w:bidi w:val="0"/>
        <w:spacing w:after="4" w:line="254" w:lineRule="auto"/>
        <w:ind w:left="348" w:hanging="350"/>
        <w:jc w:val="both"/>
        <w:rPr>
          <w:rFonts w:asciiTheme="majorBidi" w:hAnsiTheme="majorBidi" w:cstheme="majorBidi"/>
          <w:sz w:val="24"/>
          <w:szCs w:val="24"/>
        </w:rPr>
      </w:pPr>
      <w:r w:rsidRPr="009D7A25">
        <w:rPr>
          <w:rFonts w:asciiTheme="majorBidi" w:hAnsiTheme="majorBidi" w:cstheme="majorBidi"/>
          <w:sz w:val="24"/>
          <w:szCs w:val="24"/>
        </w:rPr>
        <w:t xml:space="preserve">16 . </w:t>
      </w:r>
      <w:proofErr w:type="spellStart"/>
      <w:r w:rsidRPr="009D7A25">
        <w:rPr>
          <w:rFonts w:asciiTheme="majorBidi" w:hAnsiTheme="majorBidi" w:cstheme="majorBidi"/>
          <w:sz w:val="24"/>
          <w:szCs w:val="24"/>
        </w:rPr>
        <w:t>Schum</w:t>
      </w:r>
      <w:proofErr w:type="spellEnd"/>
      <w:r w:rsidRPr="009D7A25">
        <w:rPr>
          <w:rFonts w:asciiTheme="majorBidi" w:hAnsiTheme="majorBidi" w:cstheme="majorBidi"/>
          <w:sz w:val="24"/>
          <w:szCs w:val="24"/>
        </w:rPr>
        <w:t xml:space="preserve"> TR, Kolb TM, McAuliffe TL, Simms MD, Underhill RL, Lewis M (2002) </w:t>
      </w:r>
      <w:r w:rsidR="00A554E5">
        <w:rPr>
          <w:rFonts w:asciiTheme="majorBidi" w:hAnsiTheme="majorBidi" w:cstheme="majorBidi"/>
          <w:sz w:val="24"/>
          <w:szCs w:val="24"/>
        </w:rPr>
        <w:t xml:space="preserve">  </w:t>
      </w:r>
      <w:r w:rsidRPr="009D7A25">
        <w:rPr>
          <w:rFonts w:asciiTheme="majorBidi" w:hAnsiTheme="majorBidi" w:cstheme="majorBidi"/>
          <w:sz w:val="24"/>
          <w:szCs w:val="24"/>
        </w:rPr>
        <w:t>Sequential acquisition of toilet-training skills: a descriptive study of gender and age differences in normal children. Pediatrics 109:E48</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Wen</w:t>
      </w:r>
      <w:proofErr w:type="spellEnd"/>
      <w:r w:rsidRPr="009D7A25">
        <w:rPr>
          <w:rFonts w:asciiTheme="majorBidi" w:hAnsiTheme="majorBidi" w:cstheme="majorBidi"/>
          <w:sz w:val="24"/>
          <w:szCs w:val="24"/>
        </w:rPr>
        <w:t xml:space="preserve"> JG, Wang QW, Chen Y, </w:t>
      </w:r>
      <w:proofErr w:type="spellStart"/>
      <w:r w:rsidRPr="009D7A25">
        <w:rPr>
          <w:rFonts w:asciiTheme="majorBidi" w:hAnsiTheme="majorBidi" w:cstheme="majorBidi"/>
          <w:sz w:val="24"/>
          <w:szCs w:val="24"/>
        </w:rPr>
        <w:t>Wen</w:t>
      </w:r>
      <w:proofErr w:type="spellEnd"/>
      <w:r w:rsidRPr="009D7A25">
        <w:rPr>
          <w:rFonts w:asciiTheme="majorBidi" w:hAnsiTheme="majorBidi" w:cstheme="majorBidi"/>
          <w:sz w:val="24"/>
          <w:szCs w:val="24"/>
        </w:rPr>
        <w:t xml:space="preserve"> JJ, Liu K (2006) An epidemiological study of primary nocturnal enuresis in Chinese children and adolescents. </w:t>
      </w:r>
      <w:proofErr w:type="spellStart"/>
      <w:r w:rsidRPr="009D7A25">
        <w:rPr>
          <w:rFonts w:asciiTheme="majorBidi" w:hAnsiTheme="majorBidi" w:cstheme="majorBidi"/>
          <w:sz w:val="24"/>
          <w:szCs w:val="24"/>
        </w:rPr>
        <w:t>EurUrol</w:t>
      </w:r>
      <w:proofErr w:type="spellEnd"/>
      <w:r w:rsidRPr="009D7A25">
        <w:rPr>
          <w:rFonts w:asciiTheme="majorBidi" w:hAnsiTheme="majorBidi" w:cstheme="majorBidi"/>
          <w:sz w:val="24"/>
          <w:szCs w:val="24"/>
        </w:rPr>
        <w:t xml:space="preserve"> 49:1107–1113</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r w:rsidRPr="009D7A25">
        <w:rPr>
          <w:rFonts w:asciiTheme="majorBidi" w:hAnsiTheme="majorBidi" w:cstheme="majorBidi"/>
          <w:sz w:val="24"/>
          <w:szCs w:val="24"/>
        </w:rPr>
        <w:t xml:space="preserve">Devlin JB (1991) Prevalence and risk factors for childhood nocturnal enuresis. </w:t>
      </w:r>
      <w:proofErr w:type="spellStart"/>
      <w:r w:rsidRPr="009D7A25">
        <w:rPr>
          <w:rFonts w:asciiTheme="majorBidi" w:hAnsiTheme="majorBidi" w:cstheme="majorBidi"/>
          <w:sz w:val="24"/>
          <w:szCs w:val="24"/>
        </w:rPr>
        <w:t>Ir</w:t>
      </w:r>
      <w:proofErr w:type="spellEnd"/>
      <w:r w:rsidRPr="009D7A25">
        <w:rPr>
          <w:rFonts w:asciiTheme="majorBidi" w:hAnsiTheme="majorBidi" w:cstheme="majorBidi"/>
          <w:sz w:val="24"/>
          <w:szCs w:val="24"/>
        </w:rPr>
        <w:t xml:space="preserve"> Med J 84:118–120</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r w:rsidRPr="009D7A25">
        <w:rPr>
          <w:rFonts w:asciiTheme="majorBidi" w:hAnsiTheme="majorBidi" w:cstheme="majorBidi"/>
          <w:sz w:val="24"/>
          <w:szCs w:val="24"/>
        </w:rPr>
        <w:t xml:space="preserve">Chandra M, </w:t>
      </w:r>
      <w:proofErr w:type="spellStart"/>
      <w:r w:rsidRPr="009D7A25">
        <w:rPr>
          <w:rFonts w:asciiTheme="majorBidi" w:hAnsiTheme="majorBidi" w:cstheme="majorBidi"/>
          <w:sz w:val="24"/>
          <w:szCs w:val="24"/>
        </w:rPr>
        <w:t>Saharia</w:t>
      </w:r>
      <w:proofErr w:type="spellEnd"/>
      <w:r w:rsidRPr="009D7A25">
        <w:rPr>
          <w:rFonts w:asciiTheme="majorBidi" w:hAnsiTheme="majorBidi" w:cstheme="majorBidi"/>
          <w:sz w:val="24"/>
          <w:szCs w:val="24"/>
        </w:rPr>
        <w:t xml:space="preserve"> R, Hill V, Shi Q (2004) Prevalence of diurnal voiding symptoms and difficult arousal from sleep in children with nocturnal enuresis. J </w:t>
      </w:r>
      <w:proofErr w:type="spellStart"/>
      <w:r w:rsidRPr="009D7A25">
        <w:rPr>
          <w:rFonts w:asciiTheme="majorBidi" w:hAnsiTheme="majorBidi" w:cstheme="majorBidi"/>
          <w:sz w:val="24"/>
          <w:szCs w:val="24"/>
        </w:rPr>
        <w:t>Urol</w:t>
      </w:r>
      <w:proofErr w:type="spellEnd"/>
      <w:r w:rsidRPr="009D7A25">
        <w:rPr>
          <w:rFonts w:asciiTheme="majorBidi" w:hAnsiTheme="majorBidi" w:cstheme="majorBidi"/>
          <w:sz w:val="24"/>
          <w:szCs w:val="24"/>
        </w:rPr>
        <w:t xml:space="preserve"> 172:311–316</w:t>
      </w:r>
    </w:p>
    <w:p w:rsidR="009D7A25" w:rsidRPr="00D13DD0" w:rsidRDefault="009D7A25" w:rsidP="00D13DD0">
      <w:pPr>
        <w:numPr>
          <w:ilvl w:val="0"/>
          <w:numId w:val="4"/>
        </w:numPr>
        <w:bidi w:val="0"/>
        <w:spacing w:after="4" w:line="254" w:lineRule="auto"/>
        <w:ind w:hanging="340"/>
        <w:jc w:val="both"/>
        <w:rPr>
          <w:rFonts w:asciiTheme="majorBidi" w:hAnsiTheme="majorBidi" w:cstheme="majorBidi"/>
          <w:sz w:val="24"/>
          <w:szCs w:val="24"/>
        </w:rPr>
      </w:pPr>
      <w:r w:rsidRPr="009D7A25">
        <w:rPr>
          <w:rFonts w:asciiTheme="majorBidi" w:hAnsiTheme="majorBidi" w:cstheme="majorBidi"/>
          <w:sz w:val="24"/>
          <w:szCs w:val="24"/>
        </w:rPr>
        <w:t xml:space="preserve">von </w:t>
      </w:r>
      <w:proofErr w:type="spellStart"/>
      <w:r w:rsidRPr="009D7A25">
        <w:rPr>
          <w:rFonts w:asciiTheme="majorBidi" w:hAnsiTheme="majorBidi" w:cstheme="majorBidi"/>
          <w:sz w:val="24"/>
          <w:szCs w:val="24"/>
        </w:rPr>
        <w:t>Gontard</w:t>
      </w:r>
      <w:proofErr w:type="spellEnd"/>
      <w:r w:rsidRPr="009D7A25">
        <w:rPr>
          <w:rFonts w:asciiTheme="majorBidi" w:hAnsiTheme="majorBidi" w:cstheme="majorBidi"/>
          <w:sz w:val="24"/>
          <w:szCs w:val="24"/>
        </w:rPr>
        <w:t xml:space="preserve"> A, Schaumburg H, </w:t>
      </w:r>
      <w:proofErr w:type="spellStart"/>
      <w:r w:rsidRPr="009D7A25">
        <w:rPr>
          <w:rFonts w:asciiTheme="majorBidi" w:hAnsiTheme="majorBidi" w:cstheme="majorBidi"/>
          <w:sz w:val="24"/>
          <w:szCs w:val="24"/>
        </w:rPr>
        <w:t>Hollmann</w:t>
      </w:r>
      <w:proofErr w:type="spellEnd"/>
      <w:r w:rsidRPr="009D7A25">
        <w:rPr>
          <w:rFonts w:asciiTheme="majorBidi" w:hAnsiTheme="majorBidi" w:cstheme="majorBidi"/>
          <w:sz w:val="24"/>
          <w:szCs w:val="24"/>
        </w:rPr>
        <w:t xml:space="preserve"> E, </w:t>
      </w:r>
      <w:proofErr w:type="spellStart"/>
      <w:r w:rsidRPr="009D7A25">
        <w:rPr>
          <w:rFonts w:asciiTheme="majorBidi" w:hAnsiTheme="majorBidi" w:cstheme="majorBidi"/>
          <w:sz w:val="24"/>
          <w:szCs w:val="24"/>
        </w:rPr>
        <w:t>Eiberg</w:t>
      </w:r>
      <w:proofErr w:type="spellEnd"/>
      <w:r w:rsidRPr="009D7A25">
        <w:rPr>
          <w:rFonts w:asciiTheme="majorBidi" w:hAnsiTheme="majorBidi" w:cstheme="majorBidi"/>
          <w:sz w:val="24"/>
          <w:szCs w:val="24"/>
        </w:rPr>
        <w:t xml:space="preserve"> H, </w:t>
      </w:r>
      <w:proofErr w:type="spellStart"/>
      <w:r w:rsidRPr="009D7A25">
        <w:rPr>
          <w:rFonts w:asciiTheme="majorBidi" w:hAnsiTheme="majorBidi" w:cstheme="majorBidi"/>
          <w:sz w:val="24"/>
          <w:szCs w:val="24"/>
        </w:rPr>
        <w:t>Rittig</w:t>
      </w:r>
      <w:proofErr w:type="spellEnd"/>
      <w:r w:rsidRPr="009D7A25">
        <w:rPr>
          <w:rFonts w:asciiTheme="majorBidi" w:hAnsiTheme="majorBidi" w:cstheme="majorBidi"/>
          <w:sz w:val="24"/>
          <w:szCs w:val="24"/>
        </w:rPr>
        <w:t xml:space="preserve"> S </w:t>
      </w:r>
      <w:r w:rsidRPr="00D13DD0">
        <w:rPr>
          <w:rFonts w:asciiTheme="majorBidi" w:hAnsiTheme="majorBidi" w:cstheme="majorBidi"/>
          <w:sz w:val="24"/>
          <w:szCs w:val="24"/>
        </w:rPr>
        <w:t xml:space="preserve">(2001) The genetics of enuresis: a review. J </w:t>
      </w:r>
      <w:proofErr w:type="spellStart"/>
      <w:r w:rsidRPr="00D13DD0">
        <w:rPr>
          <w:rFonts w:asciiTheme="majorBidi" w:hAnsiTheme="majorBidi" w:cstheme="majorBidi"/>
          <w:sz w:val="24"/>
          <w:szCs w:val="24"/>
        </w:rPr>
        <w:t>Urol</w:t>
      </w:r>
      <w:proofErr w:type="spellEnd"/>
      <w:r w:rsidRPr="00D13DD0">
        <w:rPr>
          <w:rFonts w:asciiTheme="majorBidi" w:hAnsiTheme="majorBidi" w:cstheme="majorBidi"/>
          <w:sz w:val="24"/>
          <w:szCs w:val="24"/>
        </w:rPr>
        <w:t xml:space="preserve"> 166:2438–2443</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r w:rsidRPr="009D7A25">
        <w:rPr>
          <w:rFonts w:asciiTheme="majorBidi" w:hAnsiTheme="majorBidi" w:cstheme="majorBidi"/>
          <w:sz w:val="24"/>
          <w:szCs w:val="24"/>
        </w:rPr>
        <w:t xml:space="preserve">De </w:t>
      </w:r>
      <w:proofErr w:type="spellStart"/>
      <w:r w:rsidRPr="009D7A25">
        <w:rPr>
          <w:rFonts w:asciiTheme="majorBidi" w:hAnsiTheme="majorBidi" w:cstheme="majorBidi"/>
          <w:sz w:val="24"/>
          <w:szCs w:val="24"/>
        </w:rPr>
        <w:t>Paepe</w:t>
      </w:r>
      <w:proofErr w:type="spellEnd"/>
      <w:r w:rsidRPr="009D7A25">
        <w:rPr>
          <w:rFonts w:asciiTheme="majorBidi" w:hAnsiTheme="majorBidi" w:cstheme="majorBidi"/>
          <w:sz w:val="24"/>
          <w:szCs w:val="24"/>
        </w:rPr>
        <w:t xml:space="preserve"> H, </w:t>
      </w:r>
      <w:proofErr w:type="spellStart"/>
      <w:r w:rsidRPr="009D7A25">
        <w:rPr>
          <w:rFonts w:asciiTheme="majorBidi" w:hAnsiTheme="majorBidi" w:cstheme="majorBidi"/>
          <w:sz w:val="24"/>
          <w:szCs w:val="24"/>
        </w:rPr>
        <w:t>Renson</w:t>
      </w:r>
      <w:proofErr w:type="spellEnd"/>
      <w:r w:rsidRPr="009D7A25">
        <w:rPr>
          <w:rFonts w:asciiTheme="majorBidi" w:hAnsiTheme="majorBidi" w:cstheme="majorBidi"/>
          <w:sz w:val="24"/>
          <w:szCs w:val="24"/>
        </w:rPr>
        <w:t xml:space="preserve"> C, Van </w:t>
      </w:r>
      <w:proofErr w:type="spellStart"/>
      <w:r w:rsidRPr="009D7A25">
        <w:rPr>
          <w:rFonts w:asciiTheme="majorBidi" w:hAnsiTheme="majorBidi" w:cstheme="majorBidi"/>
          <w:sz w:val="24"/>
          <w:szCs w:val="24"/>
        </w:rPr>
        <w:t>Laecke</w:t>
      </w:r>
      <w:proofErr w:type="spellEnd"/>
      <w:r w:rsidRPr="009D7A25">
        <w:rPr>
          <w:rFonts w:asciiTheme="majorBidi" w:hAnsiTheme="majorBidi" w:cstheme="majorBidi"/>
          <w:sz w:val="24"/>
          <w:szCs w:val="24"/>
        </w:rPr>
        <w:t xml:space="preserve"> E, </w:t>
      </w:r>
      <w:proofErr w:type="spellStart"/>
      <w:r w:rsidRPr="009D7A25">
        <w:rPr>
          <w:rFonts w:asciiTheme="majorBidi" w:hAnsiTheme="majorBidi" w:cstheme="majorBidi"/>
          <w:sz w:val="24"/>
          <w:szCs w:val="24"/>
        </w:rPr>
        <w:t>Raes</w:t>
      </w:r>
      <w:proofErr w:type="spellEnd"/>
      <w:r w:rsidRPr="009D7A25">
        <w:rPr>
          <w:rFonts w:asciiTheme="majorBidi" w:hAnsiTheme="majorBidi" w:cstheme="majorBidi"/>
          <w:sz w:val="24"/>
          <w:szCs w:val="24"/>
        </w:rPr>
        <w:t xml:space="preserve"> A, </w:t>
      </w:r>
      <w:proofErr w:type="spellStart"/>
      <w:r w:rsidRPr="009D7A25">
        <w:rPr>
          <w:rFonts w:asciiTheme="majorBidi" w:hAnsiTheme="majorBidi" w:cstheme="majorBidi"/>
          <w:sz w:val="24"/>
          <w:szCs w:val="24"/>
        </w:rPr>
        <w:t>VandeWalle</w:t>
      </w:r>
      <w:proofErr w:type="spellEnd"/>
      <w:r w:rsidRPr="009D7A25">
        <w:rPr>
          <w:rFonts w:asciiTheme="majorBidi" w:hAnsiTheme="majorBidi" w:cstheme="majorBidi"/>
          <w:sz w:val="24"/>
          <w:szCs w:val="24"/>
        </w:rPr>
        <w:t xml:space="preserve"> J, </w:t>
      </w:r>
      <w:proofErr w:type="spellStart"/>
      <w:r w:rsidRPr="009D7A25">
        <w:rPr>
          <w:rFonts w:asciiTheme="majorBidi" w:hAnsiTheme="majorBidi" w:cstheme="majorBidi"/>
          <w:sz w:val="24"/>
          <w:szCs w:val="24"/>
        </w:rPr>
        <w:t>Hoebeke</w:t>
      </w:r>
      <w:proofErr w:type="spellEnd"/>
      <w:r w:rsidRPr="009D7A25">
        <w:rPr>
          <w:rFonts w:asciiTheme="majorBidi" w:hAnsiTheme="majorBidi" w:cstheme="majorBidi"/>
          <w:sz w:val="24"/>
          <w:szCs w:val="24"/>
        </w:rPr>
        <w:t xml:space="preserve"> P (2000) Pelvic-floor therapy and toilet training in young children with dysfunctional voiding and </w:t>
      </w:r>
      <w:proofErr w:type="spellStart"/>
      <w:r w:rsidRPr="009D7A25">
        <w:rPr>
          <w:rFonts w:asciiTheme="majorBidi" w:hAnsiTheme="majorBidi" w:cstheme="majorBidi"/>
          <w:sz w:val="24"/>
          <w:szCs w:val="24"/>
        </w:rPr>
        <w:t>obstipation</w:t>
      </w:r>
      <w:proofErr w:type="spellEnd"/>
      <w:r w:rsidRPr="009D7A25">
        <w:rPr>
          <w:rFonts w:asciiTheme="majorBidi" w:hAnsiTheme="majorBidi" w:cstheme="majorBidi"/>
          <w:sz w:val="24"/>
          <w:szCs w:val="24"/>
        </w:rPr>
        <w:t xml:space="preserve">. BJU </w:t>
      </w:r>
      <w:proofErr w:type="spellStart"/>
      <w:r w:rsidRPr="009D7A25">
        <w:rPr>
          <w:rFonts w:asciiTheme="majorBidi" w:hAnsiTheme="majorBidi" w:cstheme="majorBidi"/>
          <w:sz w:val="24"/>
          <w:szCs w:val="24"/>
        </w:rPr>
        <w:t>Int</w:t>
      </w:r>
      <w:proofErr w:type="spellEnd"/>
      <w:r w:rsidRPr="009D7A25">
        <w:rPr>
          <w:rFonts w:asciiTheme="majorBidi" w:hAnsiTheme="majorBidi" w:cstheme="majorBidi"/>
          <w:sz w:val="24"/>
          <w:szCs w:val="24"/>
        </w:rPr>
        <w:t xml:space="preserve"> 85:889–893</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r w:rsidRPr="009D7A25">
        <w:rPr>
          <w:rFonts w:asciiTheme="majorBidi" w:hAnsiTheme="majorBidi" w:cstheme="majorBidi"/>
          <w:sz w:val="24"/>
          <w:szCs w:val="24"/>
        </w:rPr>
        <w:t xml:space="preserve">Bower WF, Sit FK, </w:t>
      </w:r>
      <w:proofErr w:type="spellStart"/>
      <w:r w:rsidRPr="009D7A25">
        <w:rPr>
          <w:rFonts w:asciiTheme="majorBidi" w:hAnsiTheme="majorBidi" w:cstheme="majorBidi"/>
          <w:sz w:val="24"/>
          <w:szCs w:val="24"/>
        </w:rPr>
        <w:t>Yeung</w:t>
      </w:r>
      <w:proofErr w:type="spellEnd"/>
      <w:r w:rsidRPr="009D7A25">
        <w:rPr>
          <w:rFonts w:asciiTheme="majorBidi" w:hAnsiTheme="majorBidi" w:cstheme="majorBidi"/>
          <w:sz w:val="24"/>
          <w:szCs w:val="24"/>
        </w:rPr>
        <w:t xml:space="preserve"> CK (2006) Nocturnal enuresis in adolescents and adults is associated with childhood elimination symptoms. J </w:t>
      </w:r>
      <w:proofErr w:type="spellStart"/>
      <w:r w:rsidRPr="009D7A25">
        <w:rPr>
          <w:rFonts w:asciiTheme="majorBidi" w:hAnsiTheme="majorBidi" w:cstheme="majorBidi"/>
          <w:sz w:val="24"/>
          <w:szCs w:val="24"/>
        </w:rPr>
        <w:t>Urol</w:t>
      </w:r>
      <w:proofErr w:type="spellEnd"/>
      <w:r w:rsidRPr="009D7A25">
        <w:rPr>
          <w:rFonts w:asciiTheme="majorBidi" w:hAnsiTheme="majorBidi" w:cstheme="majorBidi"/>
          <w:sz w:val="24"/>
          <w:szCs w:val="24"/>
        </w:rPr>
        <w:t xml:space="preserve"> 176:1771–1775</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Otu-Bassey</w:t>
      </w:r>
      <w:proofErr w:type="spellEnd"/>
      <w:r w:rsidRPr="009D7A25">
        <w:rPr>
          <w:rFonts w:asciiTheme="majorBidi" w:hAnsiTheme="majorBidi" w:cstheme="majorBidi"/>
          <w:sz w:val="24"/>
          <w:szCs w:val="24"/>
        </w:rPr>
        <w:t xml:space="preserve"> IB, </w:t>
      </w:r>
      <w:proofErr w:type="spellStart"/>
      <w:r w:rsidRPr="009D7A25">
        <w:rPr>
          <w:rFonts w:asciiTheme="majorBidi" w:hAnsiTheme="majorBidi" w:cstheme="majorBidi"/>
          <w:sz w:val="24"/>
          <w:szCs w:val="24"/>
        </w:rPr>
        <w:t>Useh</w:t>
      </w:r>
      <w:proofErr w:type="spellEnd"/>
      <w:r w:rsidRPr="009D7A25">
        <w:rPr>
          <w:rFonts w:asciiTheme="majorBidi" w:hAnsiTheme="majorBidi" w:cstheme="majorBidi"/>
          <w:sz w:val="24"/>
          <w:szCs w:val="24"/>
        </w:rPr>
        <w:t xml:space="preserve"> MF, </w:t>
      </w:r>
      <w:proofErr w:type="spellStart"/>
      <w:r w:rsidRPr="009D7A25">
        <w:rPr>
          <w:rFonts w:asciiTheme="majorBidi" w:hAnsiTheme="majorBidi" w:cstheme="majorBidi"/>
          <w:sz w:val="24"/>
          <w:szCs w:val="24"/>
        </w:rPr>
        <w:t>Alaribe</w:t>
      </w:r>
      <w:proofErr w:type="spellEnd"/>
      <w:r w:rsidRPr="009D7A25">
        <w:rPr>
          <w:rFonts w:asciiTheme="majorBidi" w:hAnsiTheme="majorBidi" w:cstheme="majorBidi"/>
          <w:sz w:val="24"/>
          <w:szCs w:val="24"/>
        </w:rPr>
        <w:t xml:space="preserve"> AA (2011) The post-treatment effects of </w:t>
      </w:r>
      <w:proofErr w:type="spellStart"/>
      <w:r w:rsidRPr="009D7A25">
        <w:rPr>
          <w:rFonts w:asciiTheme="majorBidi" w:hAnsiTheme="majorBidi" w:cstheme="majorBidi"/>
          <w:sz w:val="24"/>
          <w:szCs w:val="24"/>
        </w:rPr>
        <w:t>enterobiasis</w:t>
      </w:r>
      <w:proofErr w:type="spellEnd"/>
      <w:r w:rsidRPr="009D7A25">
        <w:rPr>
          <w:rFonts w:asciiTheme="majorBidi" w:hAnsiTheme="majorBidi" w:cstheme="majorBidi"/>
          <w:sz w:val="24"/>
          <w:szCs w:val="24"/>
        </w:rPr>
        <w:t xml:space="preserve"> on the occurrence of enuresis among children in </w:t>
      </w:r>
      <w:proofErr w:type="spellStart"/>
      <w:r w:rsidRPr="009D7A25">
        <w:rPr>
          <w:rFonts w:asciiTheme="majorBidi" w:hAnsiTheme="majorBidi" w:cstheme="majorBidi"/>
          <w:sz w:val="24"/>
          <w:szCs w:val="24"/>
        </w:rPr>
        <w:t>Calabar</w:t>
      </w:r>
      <w:proofErr w:type="spellEnd"/>
      <w:r w:rsidRPr="009D7A25">
        <w:rPr>
          <w:rFonts w:asciiTheme="majorBidi" w:hAnsiTheme="majorBidi" w:cstheme="majorBidi"/>
          <w:sz w:val="24"/>
          <w:szCs w:val="24"/>
        </w:rPr>
        <w:t xml:space="preserve">, Nigeria. Asian Pac J </w:t>
      </w:r>
      <w:proofErr w:type="spellStart"/>
      <w:r w:rsidRPr="009D7A25">
        <w:rPr>
          <w:rFonts w:asciiTheme="majorBidi" w:hAnsiTheme="majorBidi" w:cstheme="majorBidi"/>
          <w:sz w:val="24"/>
          <w:szCs w:val="24"/>
        </w:rPr>
        <w:t>Trop</w:t>
      </w:r>
      <w:proofErr w:type="spellEnd"/>
      <w:r w:rsidRPr="009D7A25">
        <w:rPr>
          <w:rFonts w:asciiTheme="majorBidi" w:hAnsiTheme="majorBidi" w:cstheme="majorBidi"/>
          <w:sz w:val="24"/>
          <w:szCs w:val="24"/>
        </w:rPr>
        <w:t xml:space="preserve"> Med 4:315–319</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Gur</w:t>
      </w:r>
      <w:proofErr w:type="spellEnd"/>
      <w:r w:rsidRPr="009D7A25">
        <w:rPr>
          <w:rFonts w:asciiTheme="majorBidi" w:hAnsiTheme="majorBidi" w:cstheme="majorBidi"/>
          <w:sz w:val="24"/>
          <w:szCs w:val="24"/>
        </w:rPr>
        <w:t xml:space="preserve"> E, </w:t>
      </w:r>
      <w:proofErr w:type="spellStart"/>
      <w:r w:rsidRPr="009D7A25">
        <w:rPr>
          <w:rFonts w:asciiTheme="majorBidi" w:hAnsiTheme="majorBidi" w:cstheme="majorBidi"/>
          <w:sz w:val="24"/>
          <w:szCs w:val="24"/>
        </w:rPr>
        <w:t>Turhan</w:t>
      </w:r>
      <w:proofErr w:type="spellEnd"/>
      <w:r w:rsidRPr="009D7A25">
        <w:rPr>
          <w:rFonts w:asciiTheme="majorBidi" w:hAnsiTheme="majorBidi" w:cstheme="majorBidi"/>
          <w:sz w:val="24"/>
          <w:szCs w:val="24"/>
        </w:rPr>
        <w:t xml:space="preserve"> P, Can G et al (2004) Enuresis: prevalence, risk factors and urinary pathology among school children in Istanbul, Turkey. </w:t>
      </w:r>
      <w:proofErr w:type="spellStart"/>
      <w:r w:rsidRPr="009D7A25">
        <w:rPr>
          <w:rFonts w:asciiTheme="majorBidi" w:hAnsiTheme="majorBidi" w:cstheme="majorBidi"/>
          <w:sz w:val="24"/>
          <w:szCs w:val="24"/>
        </w:rPr>
        <w:t>PediatrInt</w:t>
      </w:r>
      <w:proofErr w:type="spellEnd"/>
      <w:r w:rsidRPr="009D7A25">
        <w:rPr>
          <w:rFonts w:asciiTheme="majorBidi" w:hAnsiTheme="majorBidi" w:cstheme="majorBidi"/>
          <w:sz w:val="24"/>
          <w:szCs w:val="24"/>
        </w:rPr>
        <w:t xml:space="preserve"> 46:58–63</w:t>
      </w:r>
    </w:p>
    <w:p w:rsidR="009D7A25" w:rsidRPr="009D7A25" w:rsidRDefault="009D7A25" w:rsidP="00A554E5">
      <w:pPr>
        <w:numPr>
          <w:ilvl w:val="0"/>
          <w:numId w:val="4"/>
        </w:numPr>
        <w:bidi w:val="0"/>
        <w:spacing w:after="4" w:line="254" w:lineRule="auto"/>
        <w:ind w:hanging="340"/>
        <w:jc w:val="both"/>
        <w:rPr>
          <w:rFonts w:asciiTheme="majorBidi" w:hAnsiTheme="majorBidi" w:cstheme="majorBidi"/>
          <w:sz w:val="24"/>
          <w:szCs w:val="24"/>
        </w:rPr>
      </w:pPr>
      <w:proofErr w:type="spellStart"/>
      <w:r w:rsidRPr="009D7A25">
        <w:rPr>
          <w:rFonts w:asciiTheme="majorBidi" w:hAnsiTheme="majorBidi" w:cstheme="majorBidi"/>
          <w:sz w:val="24"/>
          <w:szCs w:val="24"/>
        </w:rPr>
        <w:t>Osungbade</w:t>
      </w:r>
      <w:proofErr w:type="spellEnd"/>
      <w:r w:rsidRPr="009D7A25">
        <w:rPr>
          <w:rFonts w:asciiTheme="majorBidi" w:hAnsiTheme="majorBidi" w:cstheme="majorBidi"/>
          <w:sz w:val="24"/>
          <w:szCs w:val="24"/>
        </w:rPr>
        <w:t xml:space="preserve"> KO, </w:t>
      </w:r>
      <w:proofErr w:type="spellStart"/>
      <w:r w:rsidRPr="009D7A25">
        <w:rPr>
          <w:rFonts w:asciiTheme="majorBidi" w:hAnsiTheme="majorBidi" w:cstheme="majorBidi"/>
          <w:sz w:val="24"/>
          <w:szCs w:val="24"/>
        </w:rPr>
        <w:t>Oshiname</w:t>
      </w:r>
      <w:proofErr w:type="spellEnd"/>
      <w:r w:rsidRPr="009D7A25">
        <w:rPr>
          <w:rFonts w:asciiTheme="majorBidi" w:hAnsiTheme="majorBidi" w:cstheme="majorBidi"/>
          <w:sz w:val="24"/>
          <w:szCs w:val="24"/>
        </w:rPr>
        <w:t xml:space="preserve"> FO (2003) Prevalence and perception of nocturnal enuresis in children of a rural community in southwestern Nigeria. </w:t>
      </w:r>
      <w:proofErr w:type="spellStart"/>
      <w:r w:rsidRPr="009D7A25">
        <w:rPr>
          <w:rFonts w:asciiTheme="majorBidi" w:hAnsiTheme="majorBidi" w:cstheme="majorBidi"/>
          <w:sz w:val="24"/>
          <w:szCs w:val="24"/>
        </w:rPr>
        <w:t>Trop</w:t>
      </w:r>
      <w:proofErr w:type="spellEnd"/>
      <w:r w:rsidRPr="009D7A25">
        <w:rPr>
          <w:rFonts w:asciiTheme="majorBidi" w:hAnsiTheme="majorBidi" w:cstheme="majorBidi"/>
          <w:sz w:val="24"/>
          <w:szCs w:val="24"/>
        </w:rPr>
        <w:t xml:space="preserve"> Dr 33:234–236</w:t>
      </w:r>
    </w:p>
    <w:p w:rsidR="00B03F14" w:rsidRPr="009D7A25" w:rsidRDefault="00B03F14" w:rsidP="00B03F14">
      <w:pPr>
        <w:bidi w:val="0"/>
        <w:spacing w:after="202"/>
        <w:ind w:left="8"/>
        <w:jc w:val="both"/>
        <w:rPr>
          <w:rFonts w:asciiTheme="majorBidi" w:hAnsiTheme="majorBidi" w:cstheme="majorBidi"/>
          <w:sz w:val="24"/>
          <w:szCs w:val="24"/>
        </w:rPr>
      </w:pPr>
    </w:p>
    <w:p w:rsidR="00067D05" w:rsidRDefault="00067D05" w:rsidP="009D7A2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067D05" w:rsidRDefault="00067D05" w:rsidP="00067D05">
      <w:pPr>
        <w:bidi w:val="0"/>
        <w:ind w:left="-2" w:firstLine="227"/>
        <w:rPr>
          <w:rFonts w:asciiTheme="majorBidi" w:hAnsiTheme="majorBidi" w:cstheme="majorBidi"/>
        </w:rPr>
      </w:pPr>
    </w:p>
    <w:p w:rsidR="00257C9C" w:rsidRPr="00491A24" w:rsidRDefault="00B03F14" w:rsidP="00257C9C">
      <w:pPr>
        <w:bidi w:val="0"/>
        <w:spacing w:after="0" w:line="240" w:lineRule="auto"/>
        <w:rPr>
          <w:rFonts w:ascii="Times New Roman" w:eastAsia="Times New Roman" w:hAnsi="Times New Roman" w:cs="Times New Roman"/>
          <w:b/>
          <w:bCs/>
          <w:sz w:val="28"/>
          <w:szCs w:val="28"/>
        </w:rPr>
      </w:pPr>
      <w:r w:rsidRPr="009D7A25">
        <w:rPr>
          <w:rFonts w:asciiTheme="majorBidi" w:hAnsiTheme="majorBidi" w:cstheme="majorBidi"/>
        </w:rPr>
        <w:lastRenderedPageBreak/>
        <w:t xml:space="preserve"> </w:t>
      </w:r>
      <w:r w:rsidR="00257C9C" w:rsidRPr="00491A24">
        <w:rPr>
          <w:rFonts w:ascii="Times New Roman" w:eastAsia="Times New Roman" w:hAnsi="Times New Roman" w:cs="Times New Roman"/>
          <w:b/>
          <w:bCs/>
          <w:sz w:val="28"/>
          <w:szCs w:val="28"/>
        </w:rPr>
        <w:t>Table </w:t>
      </w:r>
      <w:r w:rsidR="00257C9C">
        <w:rPr>
          <w:rFonts w:ascii="Times New Roman" w:eastAsia="Times New Roman" w:hAnsi="Times New Roman" w:cs="Times New Roman"/>
          <w:b/>
          <w:bCs/>
          <w:sz w:val="28"/>
          <w:szCs w:val="28"/>
        </w:rPr>
        <w:t>(</w:t>
      </w:r>
      <w:r w:rsidR="00257C9C" w:rsidRPr="00491A24">
        <w:rPr>
          <w:rFonts w:ascii="Times New Roman" w:eastAsia="Times New Roman" w:hAnsi="Times New Roman" w:cs="Times New Roman"/>
          <w:b/>
          <w:bCs/>
          <w:sz w:val="28"/>
          <w:szCs w:val="28"/>
        </w:rPr>
        <w:t>1</w:t>
      </w:r>
      <w:r w:rsidR="00257C9C">
        <w:rPr>
          <w:rFonts w:ascii="Times New Roman" w:eastAsia="Times New Roman" w:hAnsi="Times New Roman" w:cs="Times New Roman"/>
          <w:b/>
          <w:bCs/>
          <w:sz w:val="28"/>
          <w:szCs w:val="28"/>
        </w:rPr>
        <w:t>)</w:t>
      </w:r>
      <w:r w:rsidR="00257C9C" w:rsidRPr="00491A24">
        <w:rPr>
          <w:rFonts w:ascii="Times New Roman" w:eastAsia="Times New Roman" w:hAnsi="Times New Roman" w:cs="Times New Roman"/>
          <w:b/>
          <w:bCs/>
          <w:sz w:val="28"/>
          <w:szCs w:val="28"/>
        </w:rPr>
        <w:t xml:space="preserve"> Criteria of MNE in the studied population</w:t>
      </w:r>
      <w:r w:rsidR="00257C9C">
        <w:rPr>
          <w:rFonts w:ascii="Times New Roman" w:eastAsia="Times New Roman" w:hAnsi="Times New Roman" w:cs="Times New Roman"/>
          <w:b/>
          <w:bCs/>
          <w:sz w:val="28"/>
          <w:szCs w:val="28"/>
        </w:rPr>
        <w:t>.</w:t>
      </w:r>
    </w:p>
    <w:p w:rsidR="00257C9C" w:rsidRDefault="00257C9C" w:rsidP="00257C9C">
      <w:pPr>
        <w:autoSpaceDE w:val="0"/>
        <w:autoSpaceDN w:val="0"/>
        <w:bidi w:val="0"/>
        <w:adjustRightInd w:val="0"/>
        <w:spacing w:after="0" w:line="240" w:lineRule="auto"/>
        <w:jc w:val="center"/>
        <w:rPr>
          <w:rFonts w:asciiTheme="majorBidi" w:hAnsiTheme="majorBidi" w:cstheme="majorBidi"/>
          <w:b/>
          <w:bCs/>
          <w:sz w:val="24"/>
          <w:szCs w:val="24"/>
        </w:rPr>
      </w:pPr>
    </w:p>
    <w:tbl>
      <w:tblPr>
        <w:tblW w:w="0" w:type="auto"/>
        <w:tblCellSpacing w:w="15" w:type="dxa"/>
        <w:tblBorders>
          <w:top w:val="single" w:sz="12" w:space="0" w:color="auto"/>
          <w:bottom w:val="single" w:sz="12" w:space="0" w:color="auto"/>
        </w:tblBorders>
        <w:tblCellMar>
          <w:top w:w="15" w:type="dxa"/>
          <w:left w:w="15" w:type="dxa"/>
          <w:bottom w:w="15" w:type="dxa"/>
          <w:right w:w="15" w:type="dxa"/>
        </w:tblCellMar>
        <w:tblLook w:val="04A0"/>
      </w:tblPr>
      <w:tblGrid>
        <w:gridCol w:w="3306"/>
        <w:gridCol w:w="3082"/>
      </w:tblGrid>
      <w:tr w:rsidR="00257C9C" w:rsidRPr="0022232E" w:rsidTr="00AB7CA9">
        <w:trPr>
          <w:tblHeade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sz w:val="24"/>
                <w:szCs w:val="24"/>
              </w:rPr>
              <w:t>Characteristics</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sz w:val="24"/>
                <w:szCs w:val="24"/>
              </w:rPr>
              <w:t xml:space="preserve">MNE </w:t>
            </w:r>
            <w:r w:rsidRPr="0022232E">
              <w:rPr>
                <w:rFonts w:ascii="Times New Roman" w:eastAsia="Times New Roman" w:hAnsi="Times New Roman" w:cs="Times New Roman"/>
                <w:b/>
                <w:bCs/>
                <w:i/>
                <w:iCs/>
                <w:sz w:val="24"/>
                <w:szCs w:val="24"/>
              </w:rPr>
              <w:t>N</w:t>
            </w:r>
            <w:r w:rsidRPr="0022232E">
              <w:rPr>
                <w:rFonts w:ascii="Times New Roman" w:eastAsia="Times New Roman" w:hAnsi="Times New Roman" w:cs="Times New Roman"/>
                <w:b/>
                <w:bCs/>
                <w:sz w:val="24"/>
                <w:szCs w:val="24"/>
              </w:rPr>
              <w:t> = 834</w:t>
            </w:r>
          </w:p>
        </w:tc>
      </w:tr>
      <w:tr w:rsidR="00257C9C" w:rsidRPr="0022232E" w:rsidTr="00AB7CA9">
        <w:trPr>
          <w:tblCellSpacing w:w="15" w:type="dxa"/>
        </w:trPr>
        <w:tc>
          <w:tcPr>
            <w:tcW w:w="6328" w:type="dxa"/>
            <w:gridSpan w:val="2"/>
            <w:tcBorders>
              <w:top w:val="single" w:sz="12" w:space="0" w:color="auto"/>
            </w:tcBorders>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Type</w:t>
            </w:r>
          </w:p>
        </w:tc>
      </w:tr>
      <w:tr w:rsidR="00257C9C" w:rsidRPr="0022232E" w:rsidTr="00AB7CA9">
        <w:trPr>
          <w:tblCellSpacing w:w="15" w:type="dxa"/>
        </w:trPr>
        <w:tc>
          <w:tcPr>
            <w:tcW w:w="3261"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Primary</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626 (75.06 %)</w:t>
            </w:r>
          </w:p>
        </w:tc>
      </w:tr>
      <w:tr w:rsidR="00257C9C" w:rsidRPr="0022232E" w:rsidTr="00AB7CA9">
        <w:trPr>
          <w:tblCellSpacing w:w="15" w:type="dxa"/>
        </w:trPr>
        <w:tc>
          <w:tcPr>
            <w:tcW w:w="3261"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Secondary</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208 (24.94 %)</w:t>
            </w:r>
          </w:p>
        </w:tc>
      </w:tr>
      <w:tr w:rsidR="00257C9C" w:rsidRPr="0022232E" w:rsidTr="00AB7CA9">
        <w:trPr>
          <w:tblCellSpacing w:w="15" w:type="dxa"/>
        </w:trPr>
        <w:tc>
          <w:tcPr>
            <w:tcW w:w="6328" w:type="dxa"/>
            <w:gridSpan w:val="2"/>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Frequency</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Everyday</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138 (16.55 %)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5–6 times/week</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174 (20.86 %)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3–4 times/week</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154 (18.47 %)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1–2 times/week</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240 (28.78 %)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Less than one/week</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128 (15.35 %)</w:t>
            </w:r>
          </w:p>
        </w:tc>
      </w:tr>
      <w:tr w:rsidR="00257C9C" w:rsidRPr="0022232E" w:rsidTr="00AB7CA9">
        <w:trPr>
          <w:tblCellSpacing w:w="15" w:type="dxa"/>
        </w:trPr>
        <w:tc>
          <w:tcPr>
            <w:tcW w:w="6328" w:type="dxa"/>
            <w:gridSpan w:val="2"/>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Bother to children</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No</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193 (23.14 %)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Little</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270 (32.37 %)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Moderate</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242 (29.02 %)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Big</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129 (15.47 %)</w:t>
            </w:r>
          </w:p>
        </w:tc>
      </w:tr>
      <w:tr w:rsidR="00257C9C" w:rsidRPr="0022232E" w:rsidTr="00AB7CA9">
        <w:trPr>
          <w:tblCellSpacing w:w="15" w:type="dxa"/>
        </w:trPr>
        <w:tc>
          <w:tcPr>
            <w:tcW w:w="6328" w:type="dxa"/>
            <w:gridSpan w:val="2"/>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Bother to parents</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No</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34 (4.08 %)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Little</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68 (8.15 %)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Moderate</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329 (39.45 %)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Big</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403 (48.32 %)</w:t>
            </w:r>
          </w:p>
        </w:tc>
      </w:tr>
      <w:tr w:rsidR="00257C9C" w:rsidRPr="0022232E" w:rsidTr="00AB7CA9">
        <w:trPr>
          <w:tblCellSpacing w:w="15" w:type="dxa"/>
        </w:trPr>
        <w:tc>
          <w:tcPr>
            <w:tcW w:w="6328" w:type="dxa"/>
            <w:gridSpan w:val="2"/>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Associated daytime incontinence</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Yes</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133 (15.95 %)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No</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701 (84.05 %)</w:t>
            </w:r>
          </w:p>
        </w:tc>
      </w:tr>
      <w:tr w:rsidR="00257C9C" w:rsidRPr="0022232E" w:rsidTr="00AB7CA9">
        <w:trPr>
          <w:tblCellSpacing w:w="15" w:type="dxa"/>
        </w:trPr>
        <w:tc>
          <w:tcPr>
            <w:tcW w:w="6328" w:type="dxa"/>
            <w:gridSpan w:val="2"/>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Frequency of diurnal enuresis if present</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Rare</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5 (3.76 %)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Sometimes</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52 (39.10 %)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Often</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51 (38.35 %)</w:t>
            </w:r>
          </w:p>
        </w:tc>
      </w:tr>
      <w:tr w:rsidR="00257C9C" w:rsidRPr="0022232E" w:rsidTr="00AB7CA9">
        <w:trPr>
          <w:tblCellSpacing w:w="15" w:type="dxa"/>
        </w:trPr>
        <w:tc>
          <w:tcPr>
            <w:tcW w:w="0" w:type="auto"/>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Everyday</w:t>
            </w:r>
          </w:p>
        </w:tc>
        <w:tc>
          <w:tcPr>
            <w:tcW w:w="3037"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25 (18.80 %)</w:t>
            </w:r>
          </w:p>
        </w:tc>
      </w:tr>
    </w:tbl>
    <w:p w:rsidR="00257C9C" w:rsidRDefault="00257C9C" w:rsidP="00257C9C">
      <w:pPr>
        <w:bidi w:val="0"/>
        <w:spacing w:before="100" w:beforeAutospacing="1" w:after="100" w:afterAutospacing="1" w:line="240" w:lineRule="auto"/>
        <w:rPr>
          <w:rFonts w:ascii="Times New Roman" w:eastAsia="Times New Roman" w:hAnsi="Times New Roman" w:cs="Times New Roman"/>
          <w:b/>
          <w:bCs/>
          <w:sz w:val="28"/>
          <w:szCs w:val="28"/>
        </w:rPr>
      </w:pPr>
    </w:p>
    <w:p w:rsidR="00257C9C" w:rsidRDefault="00257C9C" w:rsidP="00257C9C">
      <w:pPr>
        <w:bidi w:val="0"/>
        <w:spacing w:before="100" w:beforeAutospacing="1" w:after="100" w:afterAutospacing="1" w:line="240" w:lineRule="auto"/>
        <w:rPr>
          <w:rFonts w:ascii="Times New Roman" w:eastAsia="Times New Roman" w:hAnsi="Times New Roman" w:cs="Times New Roman"/>
          <w:b/>
          <w:bCs/>
          <w:sz w:val="28"/>
          <w:szCs w:val="28"/>
        </w:rPr>
      </w:pPr>
    </w:p>
    <w:p w:rsidR="00257C9C" w:rsidRDefault="00257C9C" w:rsidP="00257C9C">
      <w:pPr>
        <w:bidi w:val="0"/>
        <w:spacing w:before="100" w:beforeAutospacing="1" w:after="100" w:afterAutospacing="1" w:line="240" w:lineRule="auto"/>
        <w:rPr>
          <w:rFonts w:ascii="Times New Roman" w:eastAsia="Times New Roman" w:hAnsi="Times New Roman" w:cs="Times New Roman"/>
          <w:b/>
          <w:bCs/>
          <w:sz w:val="28"/>
          <w:szCs w:val="28"/>
        </w:rPr>
      </w:pPr>
    </w:p>
    <w:p w:rsidR="00257C9C" w:rsidRDefault="00257C9C" w:rsidP="00257C9C">
      <w:pPr>
        <w:bidi w:val="0"/>
        <w:spacing w:before="100" w:beforeAutospacing="1" w:after="100" w:afterAutospacing="1" w:line="240" w:lineRule="auto"/>
        <w:rPr>
          <w:rFonts w:ascii="Times New Roman" w:eastAsia="Times New Roman" w:hAnsi="Times New Roman" w:cs="Times New Roman"/>
          <w:b/>
          <w:bCs/>
          <w:sz w:val="28"/>
          <w:szCs w:val="28"/>
        </w:rPr>
      </w:pPr>
    </w:p>
    <w:p w:rsidR="00257C9C" w:rsidRDefault="00257C9C" w:rsidP="00257C9C">
      <w:pPr>
        <w:bidi w:val="0"/>
        <w:spacing w:before="100" w:beforeAutospacing="1" w:after="100" w:afterAutospacing="1" w:line="240" w:lineRule="auto"/>
        <w:rPr>
          <w:rFonts w:ascii="Times New Roman" w:eastAsia="Times New Roman" w:hAnsi="Times New Roman" w:cs="Times New Roman"/>
          <w:b/>
          <w:bCs/>
          <w:sz w:val="28"/>
          <w:szCs w:val="28"/>
        </w:rPr>
      </w:pPr>
    </w:p>
    <w:p w:rsidR="00257C9C" w:rsidRDefault="00257C9C" w:rsidP="00257C9C">
      <w:pPr>
        <w:bidi w:val="0"/>
        <w:spacing w:before="100" w:beforeAutospacing="1" w:after="100" w:afterAutospacing="1" w:line="240" w:lineRule="auto"/>
        <w:rPr>
          <w:rFonts w:ascii="Times New Roman" w:eastAsia="Times New Roman" w:hAnsi="Times New Roman" w:cs="Times New Roman"/>
          <w:b/>
          <w:bCs/>
          <w:sz w:val="28"/>
          <w:szCs w:val="28"/>
        </w:rPr>
      </w:pPr>
    </w:p>
    <w:p w:rsidR="00257C9C" w:rsidRPr="00491A24" w:rsidRDefault="00257C9C" w:rsidP="00257C9C">
      <w:pPr>
        <w:bidi w:val="0"/>
        <w:spacing w:before="100" w:beforeAutospacing="1" w:after="100" w:afterAutospacing="1" w:line="240" w:lineRule="auto"/>
        <w:rPr>
          <w:rFonts w:ascii="Times New Roman" w:eastAsia="Times New Roman" w:hAnsi="Times New Roman" w:cs="Times New Roman"/>
          <w:b/>
          <w:bCs/>
          <w:sz w:val="28"/>
          <w:szCs w:val="28"/>
        </w:rPr>
      </w:pPr>
      <w:r w:rsidRPr="00491A24">
        <w:rPr>
          <w:rFonts w:ascii="Times New Roman" w:eastAsia="Times New Roman" w:hAnsi="Times New Roman" w:cs="Times New Roman"/>
          <w:b/>
          <w:bCs/>
          <w:sz w:val="28"/>
          <w:szCs w:val="28"/>
        </w:rPr>
        <w:lastRenderedPageBreak/>
        <w:t>Table</w:t>
      </w:r>
      <w:r>
        <w:rPr>
          <w:rFonts w:ascii="Times New Roman" w:eastAsia="Times New Roman" w:hAnsi="Times New Roman" w:cs="Times New Roman"/>
          <w:b/>
          <w:bCs/>
          <w:sz w:val="28"/>
          <w:szCs w:val="28"/>
        </w:rPr>
        <w:t xml:space="preserve"> (</w:t>
      </w:r>
      <w:r w:rsidRPr="00491A24">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 xml:space="preserve">) </w:t>
      </w:r>
      <w:r w:rsidRPr="00491A24">
        <w:rPr>
          <w:rFonts w:ascii="Times New Roman" w:eastAsia="Times New Roman" w:hAnsi="Times New Roman" w:cs="Times New Roman"/>
          <w:b/>
          <w:bCs/>
          <w:sz w:val="28"/>
          <w:szCs w:val="28"/>
        </w:rPr>
        <w:t xml:space="preserve"> MNE by age and gender</w:t>
      </w:r>
      <w:r>
        <w:rPr>
          <w:rFonts w:ascii="Times New Roman" w:eastAsia="Times New Roman" w:hAnsi="Times New Roman" w:cs="Times New Roman"/>
          <w:b/>
          <w:bCs/>
          <w:sz w:val="28"/>
          <w:szCs w:val="28"/>
        </w:rPr>
        <w:t>.</w:t>
      </w:r>
    </w:p>
    <w:tbl>
      <w:tblPr>
        <w:tblW w:w="10348" w:type="dxa"/>
        <w:tblCellSpacing w:w="15" w:type="dxa"/>
        <w:tblInd w:w="-1089" w:type="dxa"/>
        <w:tblBorders>
          <w:top w:val="single" w:sz="18" w:space="0" w:color="auto"/>
          <w:bottom w:val="single" w:sz="18" w:space="0" w:color="auto"/>
        </w:tblBorders>
        <w:tblCellMar>
          <w:top w:w="15" w:type="dxa"/>
          <w:left w:w="15" w:type="dxa"/>
          <w:bottom w:w="15" w:type="dxa"/>
          <w:right w:w="15" w:type="dxa"/>
        </w:tblCellMar>
        <w:tblLook w:val="04A0"/>
      </w:tblPr>
      <w:tblGrid>
        <w:gridCol w:w="2125"/>
        <w:gridCol w:w="1703"/>
        <w:gridCol w:w="1701"/>
        <w:gridCol w:w="3948"/>
        <w:gridCol w:w="871"/>
      </w:tblGrid>
      <w:tr w:rsidR="00257C9C" w:rsidRPr="0022232E" w:rsidTr="00AB7CA9">
        <w:trPr>
          <w:tblHeade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sz w:val="24"/>
                <w:szCs w:val="24"/>
              </w:rPr>
              <w:t>Characteristics</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sz w:val="24"/>
                <w:szCs w:val="24"/>
              </w:rPr>
              <w:t>Total no.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sz w:val="24"/>
                <w:szCs w:val="24"/>
              </w:rPr>
              <w:t>MNE no. (%)*</w:t>
            </w:r>
          </w:p>
        </w:tc>
        <w:tc>
          <w:tcPr>
            <w:tcW w:w="3918"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Odds ratio (95 % confidence </w:t>
            </w:r>
            <w:r w:rsidRPr="0022232E">
              <w:rPr>
                <w:rFonts w:ascii="Times New Roman" w:eastAsia="Times New Roman" w:hAnsi="Times New Roman" w:cs="Times New Roman"/>
                <w:b/>
                <w:bCs/>
                <w:sz w:val="24"/>
                <w:szCs w:val="24"/>
              </w:rPr>
              <w:t>interval)</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i/>
                <w:iCs/>
                <w:sz w:val="24"/>
                <w:szCs w:val="24"/>
              </w:rPr>
              <w:t>p</w:t>
            </w:r>
            <w:r w:rsidRPr="0022232E">
              <w:rPr>
                <w:rFonts w:ascii="Times New Roman" w:eastAsia="Times New Roman" w:hAnsi="Times New Roman" w:cs="Times New Roman"/>
                <w:b/>
                <w:bCs/>
                <w:sz w:val="24"/>
                <w:szCs w:val="24"/>
              </w:rPr>
              <w:t xml:space="preserve"> value</w:t>
            </w:r>
          </w:p>
        </w:tc>
      </w:tr>
      <w:tr w:rsidR="00257C9C" w:rsidRPr="0022232E" w:rsidTr="00AB7CA9">
        <w:trPr>
          <w:tblCellSpacing w:w="15" w:type="dxa"/>
        </w:trPr>
        <w:tc>
          <w:tcPr>
            <w:tcW w:w="10288" w:type="dxa"/>
            <w:gridSpan w:val="5"/>
            <w:tcBorders>
              <w:top w:val="single" w:sz="18" w:space="0" w:color="auto"/>
            </w:tcBorders>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Age</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6</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690 (14.83 %)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170 (24.64 %)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3.17 (2.34–4.30)</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&lt;0.0001</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7</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730 (15.69 %)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169 (23.15 %)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2.92 (2.15–3.96)</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&lt;0.0001</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8</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642 (13.80 %)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136 (21.18 %)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2.61 (1.90–3.57)</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&lt;0.0001</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9</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629 (13.52 %)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113 (17.97 %)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2.12 (1.54–2.94)</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&lt;0.0001</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10</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660 (14.19 %)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102 (15.45 %)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1.78 (1.28–2.46)</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0.001</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11</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584 (12.55 %)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77 (13.18 %)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1.47 (1.04–2.09)</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0.03</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12</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717 (15.41 %)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67 (9.34 %)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w:t>
            </w:r>
          </w:p>
        </w:tc>
        <w:tc>
          <w:tcPr>
            <w:tcW w:w="826" w:type="dxa"/>
            <w:vAlign w:val="center"/>
            <w:hideMark/>
          </w:tcPr>
          <w:p w:rsidR="00257C9C" w:rsidRPr="0022232E" w:rsidRDefault="00257C9C" w:rsidP="00AB7CA9">
            <w:pPr>
              <w:bidi w:val="0"/>
              <w:spacing w:after="0" w:line="240" w:lineRule="auto"/>
              <w:jc w:val="center"/>
              <w:rPr>
                <w:rFonts w:ascii="Times New Roman" w:eastAsia="Times New Roman" w:hAnsi="Times New Roman" w:cs="Times New Roman"/>
                <w:sz w:val="24"/>
                <w:szCs w:val="24"/>
              </w:rPr>
            </w:pPr>
          </w:p>
        </w:tc>
      </w:tr>
      <w:tr w:rsidR="00257C9C" w:rsidRPr="0022232E" w:rsidTr="00AB7CA9">
        <w:trPr>
          <w:tblCellSpacing w:w="15" w:type="dxa"/>
        </w:trPr>
        <w:tc>
          <w:tcPr>
            <w:tcW w:w="10288"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Gender</w:t>
            </w: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Males</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2331 (50.11 %)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401 (17.20 %)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w:t>
            </w:r>
          </w:p>
        </w:tc>
        <w:tc>
          <w:tcPr>
            <w:tcW w:w="826" w:type="dxa"/>
            <w:vAlign w:val="center"/>
            <w:hideMark/>
          </w:tcPr>
          <w:p w:rsidR="00257C9C" w:rsidRPr="0022232E" w:rsidRDefault="00257C9C" w:rsidP="00AB7CA9">
            <w:pPr>
              <w:bidi w:val="0"/>
              <w:spacing w:after="0" w:line="240" w:lineRule="auto"/>
              <w:jc w:val="center"/>
              <w:rPr>
                <w:rFonts w:ascii="Times New Roman" w:eastAsia="Times New Roman" w:hAnsi="Times New Roman" w:cs="Times New Roman"/>
                <w:sz w:val="24"/>
                <w:szCs w:val="24"/>
              </w:rPr>
            </w:pPr>
          </w:p>
        </w:tc>
      </w:tr>
      <w:tr w:rsidR="00257C9C" w:rsidRPr="0022232E" w:rsidTr="00AB7CA9">
        <w:trPr>
          <w:tblCellSpacing w:w="15" w:type="dxa"/>
        </w:trPr>
        <w:tc>
          <w:tcPr>
            <w:tcW w:w="2080"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Females</w:t>
            </w:r>
          </w:p>
        </w:tc>
        <w:tc>
          <w:tcPr>
            <w:tcW w:w="1673"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2321 (49.89 %)</w:t>
            </w:r>
          </w:p>
        </w:tc>
        <w:tc>
          <w:tcPr>
            <w:tcW w:w="1671"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433 (18.66 %)</w:t>
            </w:r>
          </w:p>
        </w:tc>
        <w:tc>
          <w:tcPr>
            <w:tcW w:w="3918"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1.10 (0.95–1.28)</w:t>
            </w:r>
          </w:p>
        </w:tc>
        <w:tc>
          <w:tcPr>
            <w:tcW w:w="826"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0.20</w:t>
            </w:r>
          </w:p>
        </w:tc>
      </w:tr>
    </w:tbl>
    <w:p w:rsidR="00257C9C" w:rsidRPr="00FE1009" w:rsidRDefault="00257C9C" w:rsidP="00257C9C">
      <w:pPr>
        <w:autoSpaceDE w:val="0"/>
        <w:autoSpaceDN w:val="0"/>
        <w:bidi w:val="0"/>
        <w:adjustRightInd w:val="0"/>
        <w:spacing w:after="0" w:line="240" w:lineRule="auto"/>
        <w:rPr>
          <w:rFonts w:asciiTheme="majorBidi" w:hAnsiTheme="majorBidi" w:cstheme="majorBidi"/>
          <w:sz w:val="20"/>
          <w:szCs w:val="20"/>
        </w:rPr>
      </w:pPr>
      <w:r>
        <w:rPr>
          <w:rFonts w:asciiTheme="majorBidi" w:hAnsiTheme="majorBidi" w:cstheme="majorBidi"/>
          <w:sz w:val="20"/>
          <w:szCs w:val="20"/>
        </w:rPr>
        <w:t>*</w:t>
      </w:r>
      <w:r w:rsidRPr="00FE1009">
        <w:rPr>
          <w:rFonts w:asciiTheme="majorBidi" w:hAnsiTheme="majorBidi" w:cstheme="majorBidi"/>
          <w:sz w:val="20"/>
          <w:szCs w:val="20"/>
        </w:rPr>
        <w:t>Percentage was taken from total row.</w:t>
      </w:r>
    </w:p>
    <w:p w:rsidR="00125EC1" w:rsidRDefault="00125EC1" w:rsidP="00067D05">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Pr="00491A24" w:rsidRDefault="00257C9C" w:rsidP="00257C9C">
      <w:pPr>
        <w:bidi w:val="0"/>
        <w:spacing w:after="0" w:line="240" w:lineRule="auto"/>
        <w:rPr>
          <w:rFonts w:ascii="Times New Roman" w:eastAsia="Times New Roman" w:hAnsi="Times New Roman" w:cs="Times New Roman"/>
          <w:b/>
          <w:bCs/>
          <w:sz w:val="28"/>
          <w:szCs w:val="28"/>
        </w:rPr>
      </w:pPr>
      <w:r w:rsidRPr="00491A24">
        <w:rPr>
          <w:rFonts w:ascii="Times New Roman" w:eastAsia="Times New Roman" w:hAnsi="Times New Roman" w:cs="Times New Roman"/>
          <w:b/>
          <w:bCs/>
          <w:sz w:val="28"/>
          <w:szCs w:val="28"/>
        </w:rPr>
        <w:lastRenderedPageBreak/>
        <w:t>Table </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 xml:space="preserve"> MNE in relation to student characteristics</w:t>
      </w:r>
      <w:r>
        <w:rPr>
          <w:rFonts w:ascii="Times New Roman" w:eastAsia="Times New Roman" w:hAnsi="Times New Roman" w:cs="Times New Roman"/>
          <w:b/>
          <w:bCs/>
          <w:sz w:val="28"/>
          <w:szCs w:val="28"/>
        </w:rPr>
        <w:t>.</w:t>
      </w:r>
    </w:p>
    <w:p w:rsidR="00257C9C" w:rsidRDefault="00257C9C" w:rsidP="00257C9C">
      <w:pPr>
        <w:autoSpaceDE w:val="0"/>
        <w:autoSpaceDN w:val="0"/>
        <w:bidi w:val="0"/>
        <w:adjustRightInd w:val="0"/>
        <w:spacing w:after="0" w:line="240" w:lineRule="auto"/>
        <w:jc w:val="center"/>
        <w:rPr>
          <w:rFonts w:asciiTheme="majorBidi" w:hAnsiTheme="majorBidi" w:cstheme="majorBidi"/>
          <w:b/>
          <w:bCs/>
          <w:sz w:val="24"/>
          <w:szCs w:val="24"/>
        </w:rPr>
      </w:pPr>
    </w:p>
    <w:tbl>
      <w:tblPr>
        <w:tblW w:w="10348" w:type="dxa"/>
        <w:tblCellSpacing w:w="15" w:type="dxa"/>
        <w:tblInd w:w="-1089" w:type="dxa"/>
        <w:tblBorders>
          <w:top w:val="single" w:sz="12" w:space="0" w:color="auto"/>
          <w:bottom w:val="single" w:sz="12" w:space="0" w:color="auto"/>
        </w:tblBorders>
        <w:tblCellMar>
          <w:top w:w="15" w:type="dxa"/>
          <w:left w:w="15" w:type="dxa"/>
          <w:bottom w:w="15" w:type="dxa"/>
          <w:right w:w="15" w:type="dxa"/>
        </w:tblCellMar>
        <w:tblLook w:val="04A0"/>
      </w:tblPr>
      <w:tblGrid>
        <w:gridCol w:w="2127"/>
        <w:gridCol w:w="337"/>
        <w:gridCol w:w="1310"/>
        <w:gridCol w:w="1322"/>
        <w:gridCol w:w="30"/>
        <w:gridCol w:w="30"/>
        <w:gridCol w:w="3491"/>
        <w:gridCol w:w="1701"/>
      </w:tblGrid>
      <w:tr w:rsidR="00257C9C" w:rsidRPr="0065165F" w:rsidTr="00AB7CA9">
        <w:trPr>
          <w:tblHeader/>
          <w:tblCellSpacing w:w="15" w:type="dxa"/>
        </w:trPr>
        <w:tc>
          <w:tcPr>
            <w:tcW w:w="2419"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65165F">
              <w:rPr>
                <w:rFonts w:ascii="Times New Roman" w:eastAsia="Times New Roman" w:hAnsi="Times New Roman" w:cs="Times New Roman"/>
                <w:b/>
                <w:bCs/>
                <w:sz w:val="20"/>
                <w:szCs w:val="20"/>
              </w:rPr>
              <w:t>Characteristics</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65165F">
              <w:rPr>
                <w:rFonts w:ascii="Times New Roman" w:eastAsia="Times New Roman" w:hAnsi="Times New Roman" w:cs="Times New Roman"/>
                <w:b/>
                <w:bCs/>
                <w:sz w:val="20"/>
                <w:szCs w:val="20"/>
              </w:rPr>
              <w:t>Total no.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65165F">
              <w:rPr>
                <w:rFonts w:ascii="Times New Roman" w:eastAsia="Times New Roman" w:hAnsi="Times New Roman" w:cs="Times New Roman"/>
                <w:b/>
                <w:bCs/>
                <w:sz w:val="20"/>
                <w:szCs w:val="20"/>
              </w:rPr>
              <w:t>MNE no.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65165F">
              <w:rPr>
                <w:rFonts w:ascii="Times New Roman" w:eastAsia="Times New Roman" w:hAnsi="Times New Roman" w:cs="Times New Roman"/>
                <w:b/>
                <w:bCs/>
                <w:sz w:val="20"/>
                <w:szCs w:val="20"/>
              </w:rPr>
              <w:t>Odds ratio (95 % confidence interval)</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65165F">
              <w:rPr>
                <w:rFonts w:ascii="Times New Roman" w:eastAsia="Times New Roman" w:hAnsi="Times New Roman" w:cs="Times New Roman"/>
                <w:b/>
                <w:bCs/>
                <w:i/>
                <w:iCs/>
                <w:sz w:val="20"/>
                <w:szCs w:val="20"/>
              </w:rPr>
              <w:t>p</w:t>
            </w:r>
            <w:r w:rsidRPr="0065165F">
              <w:rPr>
                <w:rFonts w:ascii="Times New Roman" w:eastAsia="Times New Roman" w:hAnsi="Times New Roman" w:cs="Times New Roman"/>
                <w:b/>
                <w:bCs/>
                <w:sz w:val="20"/>
                <w:szCs w:val="20"/>
              </w:rPr>
              <w:t xml:space="preserve"> value</w:t>
            </w:r>
          </w:p>
        </w:tc>
      </w:tr>
      <w:tr w:rsidR="00257C9C" w:rsidRPr="0065165F" w:rsidTr="00AB7CA9">
        <w:trPr>
          <w:tblCellSpacing w:w="15" w:type="dxa"/>
        </w:trPr>
        <w:tc>
          <w:tcPr>
            <w:tcW w:w="10288" w:type="dxa"/>
            <w:gridSpan w:val="8"/>
            <w:tcBorders>
              <w:top w:val="single" w:sz="12" w:space="0" w:color="auto"/>
            </w:tcBorders>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Sibling number</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0–1</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1746 (37.53 %)</w:t>
            </w:r>
          </w:p>
        </w:tc>
        <w:tc>
          <w:tcPr>
            <w:tcW w:w="1583"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222 (12.71 %)</w:t>
            </w:r>
          </w:p>
        </w:tc>
        <w:tc>
          <w:tcPr>
            <w:tcW w:w="3230"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2–3</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1974 (42.43 %)</w:t>
            </w:r>
          </w:p>
        </w:tc>
        <w:tc>
          <w:tcPr>
            <w:tcW w:w="1583"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277 (14.03 %)</w:t>
            </w:r>
          </w:p>
        </w:tc>
        <w:tc>
          <w:tcPr>
            <w:tcW w:w="3230"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1.12 (0.93–1.35)</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0.24</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4–5</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729 (15.67 %)</w:t>
            </w:r>
          </w:p>
        </w:tc>
        <w:tc>
          <w:tcPr>
            <w:tcW w:w="1583"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256 (35.12 %)</w:t>
            </w:r>
          </w:p>
        </w:tc>
        <w:tc>
          <w:tcPr>
            <w:tcW w:w="3230"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3.71 (3.02–4.57)</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6–7</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203 (4.36 %)</w:t>
            </w:r>
          </w:p>
        </w:tc>
        <w:tc>
          <w:tcPr>
            <w:tcW w:w="1583"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79 (38.92 %)</w:t>
            </w:r>
          </w:p>
        </w:tc>
        <w:tc>
          <w:tcPr>
            <w:tcW w:w="3230"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4.37 (3.19–5.99)</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Birth order</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1st/2nd</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3495 (75.13 %)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493 (14.11 %)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3rd/4th</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845 (18.16 %)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225 (26.63 %)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2.21 (1.85–2.65)</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5th/6th</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312 (6.71 %)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116 (37.18 %)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3.60 (2.81–4.62)</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Sleep</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Deep</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579 (12.45 %)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557 (96.20 %)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346.96 (222.75–540.43)</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Light</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4073 (87.55 %)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277 (6.80 %)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Tea drinking habit</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Yes</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3186 (68.49 %)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724 (22.72 %)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3.62 (2.93–4.48)</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No</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1466 (31.51 %)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110 (7.50 %)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Tea number/day</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0</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1466 (31.51 %)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110 (7.50 %)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1–2</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2657 (57.12 %)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630 (23.71 %)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3.83 (3.09–4.75)</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3–4</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529 (11.37 %)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94 (17.77 %)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2.66 (1.98–3.58)</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Caffeinated beverage drinking habit</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Yes</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967 (20.79 %)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705 (72.91 %)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74.18 (59.18–92.96)</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No</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3685 (79.21 %)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129 (3.50 %)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Caffeinated beverage number/day</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0</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3685 (79.21 %)</w:t>
            </w:r>
          </w:p>
        </w:tc>
        <w:tc>
          <w:tcPr>
            <w:tcW w:w="1322"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129 (3.50 %)</w:t>
            </w:r>
          </w:p>
        </w:tc>
        <w:tc>
          <w:tcPr>
            <w:tcW w:w="3491"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1–2</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622 (13.48 %)</w:t>
            </w:r>
          </w:p>
        </w:tc>
        <w:tc>
          <w:tcPr>
            <w:tcW w:w="1322"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430 (68.58 %)</w:t>
            </w:r>
          </w:p>
        </w:tc>
        <w:tc>
          <w:tcPr>
            <w:tcW w:w="3491"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60.17 (47.17–76.76)</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3–4</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340 (7.31 %)</w:t>
            </w:r>
          </w:p>
        </w:tc>
        <w:tc>
          <w:tcPr>
            <w:tcW w:w="1322"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275 (80.88 %)</w:t>
            </w:r>
          </w:p>
        </w:tc>
        <w:tc>
          <w:tcPr>
            <w:tcW w:w="3491"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116.62 (84.48–160.98)</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Home problems</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Yes</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1104 (23.73 %)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754 (68.30 %)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93.39 (72/34–120.55)</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No</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3548 (76.27 %)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80 (2.25 %)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School problems</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Yes</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1066 (22.91 %)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752 (70.54 %)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102.34 (79.26–132.13)</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No</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3586 (77.09 %)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82 (2.29 %)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Home violence</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Yes</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1023 (21.99 %)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733 (71.65 %)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88.29 (69.45–112.24)</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No</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3629 (78.01 %)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101 (2.78 %)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65165F" w:rsidTr="00AB7CA9">
        <w:trPr>
          <w:tblCellSpacing w:w="15" w:type="dxa"/>
        </w:trPr>
        <w:tc>
          <w:tcPr>
            <w:tcW w:w="10288" w:type="dxa"/>
            <w:gridSpan w:val="8"/>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School violence</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Yes</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961 (20.66 %)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748 (77.84 %)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147.20 (113.22–191.39)</w:t>
            </w:r>
          </w:p>
        </w:tc>
        <w:tc>
          <w:tcPr>
            <w:tcW w:w="1656" w:type="dxa"/>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&lt;0.0001</w:t>
            </w:r>
          </w:p>
        </w:tc>
      </w:tr>
      <w:tr w:rsidR="00257C9C" w:rsidRPr="0065165F" w:rsidTr="00AB7CA9">
        <w:trPr>
          <w:tblCellSpacing w:w="15" w:type="dxa"/>
        </w:trPr>
        <w:tc>
          <w:tcPr>
            <w:tcW w:w="2082" w:type="dxa"/>
            <w:vAlign w:val="center"/>
            <w:hideMark/>
          </w:tcPr>
          <w:p w:rsidR="00257C9C" w:rsidRPr="0065165F"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 No</w:t>
            </w:r>
          </w:p>
        </w:tc>
        <w:tc>
          <w:tcPr>
            <w:tcW w:w="1617" w:type="dxa"/>
            <w:gridSpan w:val="2"/>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3691 (79.34 %)</w:t>
            </w:r>
          </w:p>
        </w:tc>
        <w:tc>
          <w:tcPr>
            <w:tcW w:w="0" w:type="auto"/>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86 (2.33 %)</w:t>
            </w:r>
          </w:p>
        </w:tc>
        <w:tc>
          <w:tcPr>
            <w:tcW w:w="3521" w:type="dxa"/>
            <w:gridSpan w:val="3"/>
            <w:vAlign w:val="center"/>
            <w:hideMark/>
          </w:tcPr>
          <w:p w:rsidR="00257C9C" w:rsidRPr="0065165F"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65165F">
              <w:rPr>
                <w:rFonts w:ascii="Times New Roman" w:eastAsia="Times New Roman" w:hAnsi="Times New Roman" w:cs="Times New Roman"/>
                <w:sz w:val="20"/>
                <w:szCs w:val="20"/>
              </w:rPr>
              <w:t>1</w:t>
            </w:r>
          </w:p>
        </w:tc>
        <w:tc>
          <w:tcPr>
            <w:tcW w:w="1656" w:type="dxa"/>
            <w:vAlign w:val="center"/>
            <w:hideMark/>
          </w:tcPr>
          <w:p w:rsidR="00257C9C" w:rsidRPr="0065165F" w:rsidRDefault="00257C9C" w:rsidP="00AB7CA9">
            <w:pPr>
              <w:bidi w:val="0"/>
              <w:spacing w:after="0" w:line="240" w:lineRule="auto"/>
              <w:jc w:val="center"/>
              <w:rPr>
                <w:rFonts w:ascii="Times New Roman" w:eastAsia="Times New Roman" w:hAnsi="Times New Roman" w:cs="Times New Roman"/>
                <w:sz w:val="20"/>
                <w:szCs w:val="20"/>
              </w:rPr>
            </w:pPr>
          </w:p>
        </w:tc>
      </w:tr>
    </w:tbl>
    <w:p w:rsidR="00257C9C" w:rsidRDefault="00257C9C" w:rsidP="00257C9C">
      <w:pPr>
        <w:autoSpaceDE w:val="0"/>
        <w:autoSpaceDN w:val="0"/>
        <w:bidi w:val="0"/>
        <w:adjustRightInd w:val="0"/>
        <w:spacing w:after="0" w:line="240" w:lineRule="auto"/>
        <w:rPr>
          <w:rFonts w:asciiTheme="majorBidi" w:hAnsiTheme="majorBidi" w:cstheme="majorBidi"/>
          <w:b/>
          <w:bCs/>
          <w:sz w:val="20"/>
          <w:szCs w:val="20"/>
        </w:rPr>
      </w:pPr>
      <w:r>
        <w:rPr>
          <w:rFonts w:asciiTheme="majorBidi" w:hAnsiTheme="majorBidi" w:cstheme="majorBidi"/>
          <w:sz w:val="20"/>
          <w:szCs w:val="20"/>
        </w:rPr>
        <w:t>*</w:t>
      </w:r>
      <w:r w:rsidRPr="00FE1009">
        <w:rPr>
          <w:rFonts w:asciiTheme="majorBidi" w:hAnsiTheme="majorBidi" w:cstheme="majorBidi"/>
          <w:sz w:val="20"/>
          <w:szCs w:val="20"/>
        </w:rPr>
        <w:t>Percentage was taken from total row</w:t>
      </w: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Pr="00491A24" w:rsidRDefault="00257C9C" w:rsidP="00257C9C">
      <w:pPr>
        <w:bidi w:val="0"/>
        <w:spacing w:after="0" w:line="240" w:lineRule="auto"/>
        <w:rPr>
          <w:rFonts w:ascii="Times New Roman" w:eastAsia="Times New Roman" w:hAnsi="Times New Roman" w:cs="Times New Roman"/>
          <w:b/>
          <w:bCs/>
          <w:sz w:val="28"/>
          <w:szCs w:val="28"/>
        </w:rPr>
      </w:pPr>
      <w:r w:rsidRPr="00491A24">
        <w:rPr>
          <w:rFonts w:ascii="Times New Roman" w:eastAsia="Times New Roman" w:hAnsi="Times New Roman" w:cs="Times New Roman"/>
          <w:b/>
          <w:bCs/>
          <w:sz w:val="28"/>
          <w:szCs w:val="28"/>
        </w:rPr>
        <w:lastRenderedPageBreak/>
        <w:t>Table </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 xml:space="preserve"> MNE in relation to family characteristics</w:t>
      </w:r>
      <w:r>
        <w:rPr>
          <w:rFonts w:ascii="Times New Roman" w:eastAsia="Times New Roman" w:hAnsi="Times New Roman" w:cs="Times New Roman"/>
          <w:b/>
          <w:bCs/>
          <w:sz w:val="28"/>
          <w:szCs w:val="28"/>
        </w:rPr>
        <w:t>.</w:t>
      </w:r>
    </w:p>
    <w:p w:rsidR="00257C9C" w:rsidRDefault="00257C9C" w:rsidP="00257C9C">
      <w:pPr>
        <w:autoSpaceDE w:val="0"/>
        <w:autoSpaceDN w:val="0"/>
        <w:bidi w:val="0"/>
        <w:adjustRightInd w:val="0"/>
        <w:spacing w:after="0" w:line="240" w:lineRule="auto"/>
        <w:rPr>
          <w:rFonts w:asciiTheme="majorBidi" w:hAnsiTheme="majorBidi" w:cstheme="majorBidi"/>
          <w:b/>
          <w:bCs/>
          <w:sz w:val="20"/>
          <w:szCs w:val="20"/>
        </w:rPr>
      </w:pPr>
    </w:p>
    <w:tbl>
      <w:tblPr>
        <w:tblW w:w="9640" w:type="dxa"/>
        <w:tblCellSpacing w:w="15" w:type="dxa"/>
        <w:tblInd w:w="-664" w:type="dxa"/>
        <w:tblBorders>
          <w:top w:val="single" w:sz="18" w:space="0" w:color="auto"/>
          <w:bottom w:val="single" w:sz="18" w:space="0" w:color="auto"/>
        </w:tblBorders>
        <w:tblCellMar>
          <w:top w:w="15" w:type="dxa"/>
          <w:left w:w="15" w:type="dxa"/>
          <w:bottom w:w="15" w:type="dxa"/>
          <w:right w:w="15" w:type="dxa"/>
        </w:tblCellMar>
        <w:tblLook w:val="04A0"/>
      </w:tblPr>
      <w:tblGrid>
        <w:gridCol w:w="1985"/>
        <w:gridCol w:w="1735"/>
        <w:gridCol w:w="1525"/>
        <w:gridCol w:w="3077"/>
        <w:gridCol w:w="1318"/>
      </w:tblGrid>
      <w:tr w:rsidR="00257C9C" w:rsidRPr="009C720C" w:rsidTr="00AB7CA9">
        <w:trPr>
          <w:tblHeade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9C720C">
              <w:rPr>
                <w:rFonts w:ascii="Times New Roman" w:eastAsia="Times New Roman" w:hAnsi="Times New Roman" w:cs="Times New Roman"/>
                <w:b/>
                <w:bCs/>
                <w:sz w:val="20"/>
                <w:szCs w:val="20"/>
              </w:rPr>
              <w:t>Characteristics</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9C720C">
              <w:rPr>
                <w:rFonts w:ascii="Times New Roman" w:eastAsia="Times New Roman" w:hAnsi="Times New Roman" w:cs="Times New Roman"/>
                <w:b/>
                <w:bCs/>
                <w:sz w:val="20"/>
                <w:szCs w:val="20"/>
              </w:rPr>
              <w:t>Total no.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9C720C">
              <w:rPr>
                <w:rFonts w:ascii="Times New Roman" w:eastAsia="Times New Roman" w:hAnsi="Times New Roman" w:cs="Times New Roman"/>
                <w:b/>
                <w:bCs/>
                <w:sz w:val="20"/>
                <w:szCs w:val="20"/>
              </w:rPr>
              <w:t>MNE no.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9C720C">
              <w:rPr>
                <w:rFonts w:ascii="Times New Roman" w:eastAsia="Times New Roman" w:hAnsi="Times New Roman" w:cs="Times New Roman"/>
                <w:b/>
                <w:bCs/>
                <w:sz w:val="20"/>
                <w:szCs w:val="20"/>
              </w:rPr>
              <w:t>Odds ratio (95 % confidence interval)</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9C720C">
              <w:rPr>
                <w:rFonts w:ascii="Times New Roman" w:eastAsia="Times New Roman" w:hAnsi="Times New Roman" w:cs="Times New Roman"/>
                <w:b/>
                <w:bCs/>
                <w:i/>
                <w:iCs/>
                <w:sz w:val="20"/>
                <w:szCs w:val="20"/>
              </w:rPr>
              <w:t>p</w:t>
            </w:r>
            <w:r w:rsidRPr="009C720C">
              <w:rPr>
                <w:rFonts w:ascii="Times New Roman" w:eastAsia="Times New Roman" w:hAnsi="Times New Roman" w:cs="Times New Roman"/>
                <w:b/>
                <w:bCs/>
                <w:sz w:val="20"/>
                <w:szCs w:val="20"/>
              </w:rPr>
              <w:t xml:space="preserve"> value</w:t>
            </w:r>
          </w:p>
        </w:tc>
      </w:tr>
      <w:tr w:rsidR="00257C9C" w:rsidRPr="009C720C" w:rsidTr="00AB7CA9">
        <w:trPr>
          <w:tblCellSpacing w:w="15" w:type="dxa"/>
        </w:trPr>
        <w:tc>
          <w:tcPr>
            <w:tcW w:w="9580" w:type="dxa"/>
            <w:gridSpan w:val="5"/>
            <w:tcBorders>
              <w:top w:val="single" w:sz="18" w:space="0" w:color="auto"/>
            </w:tcBorders>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Family history</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Positive</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846 (18.19 %)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717 (84.75 %)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175.25 (134.76–227.90)</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Negative</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3806 (81.81 %)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117 (3.07 %)</w:t>
            </w:r>
          </w:p>
        </w:tc>
        <w:tc>
          <w:tcPr>
            <w:tcW w:w="3047"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9580"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Person with family history</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Mother</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129 (15.25 %)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0</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Can’t calculated</w:t>
            </w: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Brother or sister</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571 (67.49 %)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571 (100 %)</w:t>
            </w:r>
          </w:p>
        </w:tc>
        <w:tc>
          <w:tcPr>
            <w:tcW w:w="3047"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Cousin</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146 (17.26 %)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146 (100 %)</w:t>
            </w:r>
          </w:p>
        </w:tc>
        <w:tc>
          <w:tcPr>
            <w:tcW w:w="3047"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9580"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Number per room</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1–2</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1909 (41.04 %)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133 (6.97 %)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w:t>
            </w: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3–4</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2057 (44.22 %)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423 (20.56 %)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3.45 (2.81–4.25)</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5–6</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686 (14.75 %)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278 (40.52 %)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9.09 (7.21–11.49)</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9580"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Socioeconomic status</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Low</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2496 (53.65 %)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652 (26.12 %)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3.11 (2.35-4.12)</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Moderate</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1558 (33.49 %)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121 (7.77 %)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0.74 (0.54–1.02)</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0.07</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High</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598 (12.85 %)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61 (10.20 %)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w:t>
            </w: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9580"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Mother education</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Basic school or less</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3673 (78.96 %)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771 (20.99 %)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3.86 (2.96–5.05)</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Secondary or higher</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979 (21.04 %)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63 (6.44 %)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w:t>
            </w: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9580"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Father education</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Basic school or less</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2518 (54.13 %)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589 (23.39 %)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2.35 (2.00–2.77)</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Secondary or higher</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2134 (45.87 %)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245 (11.48 %)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w:t>
            </w: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9580"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Mother work</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Not work</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3631 (78.05 %)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667 (18.37 %)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1.15 (0.96–1.38)</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0.14</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Work</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1021 (21.95 %)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167 (16.36 %)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w:t>
            </w: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r w:rsidR="00257C9C" w:rsidRPr="009C720C" w:rsidTr="00AB7CA9">
        <w:trPr>
          <w:tblCellSpacing w:w="15" w:type="dxa"/>
        </w:trPr>
        <w:tc>
          <w:tcPr>
            <w:tcW w:w="9580"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0"/>
                <w:szCs w:val="20"/>
              </w:rPr>
            </w:pPr>
            <w:r w:rsidRPr="00257C9C">
              <w:rPr>
                <w:rFonts w:ascii="Times New Roman" w:eastAsia="Times New Roman" w:hAnsi="Times New Roman" w:cs="Times New Roman"/>
                <w:b/>
                <w:bCs/>
                <w:sz w:val="20"/>
                <w:szCs w:val="20"/>
              </w:rPr>
              <w:t>Father work</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Not work</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270 (5.80 %)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53 (19.63 %)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1.13 (0.83–1.54)</w:t>
            </w:r>
          </w:p>
        </w:tc>
        <w:tc>
          <w:tcPr>
            <w:tcW w:w="1273"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&lt;0.0001</w:t>
            </w:r>
          </w:p>
        </w:tc>
      </w:tr>
      <w:tr w:rsidR="00257C9C" w:rsidRPr="009C720C" w:rsidTr="00AB7CA9">
        <w:trPr>
          <w:tblCellSpacing w:w="15" w:type="dxa"/>
        </w:trPr>
        <w:tc>
          <w:tcPr>
            <w:tcW w:w="1940" w:type="dxa"/>
            <w:vAlign w:val="center"/>
            <w:hideMark/>
          </w:tcPr>
          <w:p w:rsidR="00257C9C" w:rsidRPr="009C720C" w:rsidRDefault="00257C9C" w:rsidP="00AB7CA9">
            <w:pPr>
              <w:bidi w:val="0"/>
              <w:spacing w:before="100" w:beforeAutospacing="1" w:after="100" w:afterAutospacing="1" w:line="240" w:lineRule="auto"/>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 Work</w:t>
            </w:r>
          </w:p>
        </w:tc>
        <w:tc>
          <w:tcPr>
            <w:tcW w:w="170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4382 (94.20 %)</w:t>
            </w:r>
          </w:p>
        </w:tc>
        <w:tc>
          <w:tcPr>
            <w:tcW w:w="1495"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781 (17.82 %)</w:t>
            </w:r>
          </w:p>
        </w:tc>
        <w:tc>
          <w:tcPr>
            <w:tcW w:w="3047" w:type="dxa"/>
            <w:vAlign w:val="center"/>
            <w:hideMark/>
          </w:tcPr>
          <w:p w:rsidR="00257C9C" w:rsidRPr="009C720C" w:rsidRDefault="00257C9C" w:rsidP="00AB7CA9">
            <w:pPr>
              <w:bidi w:val="0"/>
              <w:spacing w:before="100" w:beforeAutospacing="1" w:after="100" w:afterAutospacing="1" w:line="240" w:lineRule="auto"/>
              <w:jc w:val="center"/>
              <w:rPr>
                <w:rFonts w:ascii="Times New Roman" w:eastAsia="Times New Roman" w:hAnsi="Times New Roman" w:cs="Times New Roman"/>
                <w:sz w:val="20"/>
                <w:szCs w:val="20"/>
              </w:rPr>
            </w:pPr>
            <w:r w:rsidRPr="009C720C">
              <w:rPr>
                <w:rFonts w:ascii="Times New Roman" w:eastAsia="Times New Roman" w:hAnsi="Times New Roman" w:cs="Times New Roman"/>
                <w:sz w:val="20"/>
                <w:szCs w:val="20"/>
              </w:rPr>
              <w:t>1</w:t>
            </w:r>
          </w:p>
        </w:tc>
        <w:tc>
          <w:tcPr>
            <w:tcW w:w="1273" w:type="dxa"/>
            <w:vAlign w:val="center"/>
            <w:hideMark/>
          </w:tcPr>
          <w:p w:rsidR="00257C9C" w:rsidRPr="009C720C" w:rsidRDefault="00257C9C" w:rsidP="00AB7CA9">
            <w:pPr>
              <w:bidi w:val="0"/>
              <w:spacing w:after="0" w:line="240" w:lineRule="auto"/>
              <w:jc w:val="center"/>
              <w:rPr>
                <w:rFonts w:ascii="Times New Roman" w:eastAsia="Times New Roman" w:hAnsi="Times New Roman" w:cs="Times New Roman"/>
                <w:sz w:val="20"/>
                <w:szCs w:val="20"/>
              </w:rPr>
            </w:pPr>
          </w:p>
        </w:tc>
      </w:tr>
    </w:tbl>
    <w:p w:rsidR="00257C9C" w:rsidRDefault="00257C9C" w:rsidP="00257C9C">
      <w:pPr>
        <w:autoSpaceDE w:val="0"/>
        <w:autoSpaceDN w:val="0"/>
        <w:bidi w:val="0"/>
        <w:adjustRightInd w:val="0"/>
        <w:spacing w:after="0" w:line="240" w:lineRule="auto"/>
        <w:rPr>
          <w:rFonts w:asciiTheme="majorBidi" w:hAnsiTheme="majorBidi" w:cstheme="majorBidi"/>
          <w:b/>
          <w:bCs/>
          <w:sz w:val="20"/>
          <w:szCs w:val="20"/>
        </w:rPr>
      </w:pPr>
      <w:r>
        <w:rPr>
          <w:rFonts w:asciiTheme="majorBidi" w:hAnsiTheme="majorBidi" w:cstheme="majorBidi"/>
          <w:sz w:val="20"/>
          <w:szCs w:val="20"/>
        </w:rPr>
        <w:t>*</w:t>
      </w:r>
      <w:r w:rsidRPr="00FE1009">
        <w:rPr>
          <w:rFonts w:asciiTheme="majorBidi" w:hAnsiTheme="majorBidi" w:cstheme="majorBidi"/>
          <w:sz w:val="20"/>
          <w:szCs w:val="20"/>
        </w:rPr>
        <w:t>Percentage was taken from total row</w:t>
      </w: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Default="00257C9C" w:rsidP="00257C9C">
      <w:pPr>
        <w:bidi w:val="0"/>
        <w:ind w:left="-2" w:firstLine="2"/>
        <w:rPr>
          <w:rFonts w:asciiTheme="majorBidi" w:hAnsiTheme="majorBidi" w:cstheme="majorBidi"/>
        </w:rPr>
      </w:pPr>
    </w:p>
    <w:p w:rsidR="00257C9C" w:rsidRPr="00491A24" w:rsidRDefault="00257C9C" w:rsidP="00257C9C">
      <w:pPr>
        <w:bidi w:val="0"/>
        <w:spacing w:after="0" w:line="240" w:lineRule="auto"/>
        <w:rPr>
          <w:rFonts w:ascii="Times New Roman" w:eastAsia="Times New Roman" w:hAnsi="Times New Roman" w:cs="Times New Roman"/>
          <w:b/>
          <w:bCs/>
          <w:sz w:val="28"/>
          <w:szCs w:val="28"/>
        </w:rPr>
      </w:pPr>
      <w:r w:rsidRPr="00491A24">
        <w:rPr>
          <w:rFonts w:ascii="Times New Roman" w:eastAsia="Times New Roman" w:hAnsi="Times New Roman" w:cs="Times New Roman"/>
          <w:b/>
          <w:bCs/>
          <w:sz w:val="28"/>
          <w:szCs w:val="28"/>
        </w:rPr>
        <w:lastRenderedPageBreak/>
        <w:t>Table </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 xml:space="preserve"> MNE in relation to student diseases</w:t>
      </w:r>
      <w:r>
        <w:rPr>
          <w:rFonts w:ascii="Times New Roman" w:eastAsia="Times New Roman" w:hAnsi="Times New Roman" w:cs="Times New Roman"/>
          <w:b/>
          <w:bCs/>
          <w:sz w:val="28"/>
          <w:szCs w:val="28"/>
        </w:rPr>
        <w:t>.</w:t>
      </w:r>
    </w:p>
    <w:p w:rsidR="00257C9C" w:rsidRPr="00201F70" w:rsidRDefault="00257C9C" w:rsidP="00257C9C">
      <w:pPr>
        <w:bidi w:val="0"/>
        <w:spacing w:after="0" w:line="240" w:lineRule="auto"/>
        <w:rPr>
          <w:rFonts w:ascii="Times New Roman" w:eastAsia="Times New Roman" w:hAnsi="Times New Roman" w:cs="Times New Roman"/>
          <w:sz w:val="28"/>
          <w:szCs w:val="28"/>
        </w:rPr>
      </w:pPr>
    </w:p>
    <w:tbl>
      <w:tblPr>
        <w:tblW w:w="10773" w:type="dxa"/>
        <w:tblCellSpacing w:w="15" w:type="dxa"/>
        <w:tblInd w:w="-1089" w:type="dxa"/>
        <w:tblBorders>
          <w:top w:val="single" w:sz="18" w:space="0" w:color="auto"/>
          <w:bottom w:val="single" w:sz="18" w:space="0" w:color="auto"/>
        </w:tblBorders>
        <w:tblCellMar>
          <w:top w:w="15" w:type="dxa"/>
          <w:left w:w="15" w:type="dxa"/>
          <w:bottom w:w="15" w:type="dxa"/>
          <w:right w:w="15" w:type="dxa"/>
        </w:tblCellMar>
        <w:tblLook w:val="04A0"/>
      </w:tblPr>
      <w:tblGrid>
        <w:gridCol w:w="2127"/>
        <w:gridCol w:w="1984"/>
        <w:gridCol w:w="1559"/>
        <w:gridCol w:w="3828"/>
        <w:gridCol w:w="1275"/>
      </w:tblGrid>
      <w:tr w:rsidR="00257C9C" w:rsidRPr="0022232E" w:rsidTr="00AB7CA9">
        <w:trPr>
          <w:tblHeade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b/>
                <w:bCs/>
              </w:rPr>
            </w:pPr>
            <w:r w:rsidRPr="00323307">
              <w:rPr>
                <w:rFonts w:ascii="Times New Roman" w:eastAsia="Times New Roman" w:hAnsi="Times New Roman" w:cs="Times New Roman"/>
                <w:b/>
                <w:bCs/>
              </w:rPr>
              <w:t>Characteristics</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b/>
                <w:bCs/>
              </w:rPr>
            </w:pPr>
            <w:r w:rsidRPr="00323307">
              <w:rPr>
                <w:rFonts w:ascii="Times New Roman" w:eastAsia="Times New Roman" w:hAnsi="Times New Roman" w:cs="Times New Roman"/>
                <w:b/>
                <w:bCs/>
              </w:rPr>
              <w:t>Total no.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b/>
                <w:bCs/>
              </w:rPr>
            </w:pPr>
            <w:r w:rsidRPr="00323307">
              <w:rPr>
                <w:rFonts w:ascii="Times New Roman" w:eastAsia="Times New Roman" w:hAnsi="Times New Roman" w:cs="Times New Roman"/>
                <w:b/>
                <w:bCs/>
              </w:rPr>
              <w:t>MNE no.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b/>
                <w:bCs/>
              </w:rPr>
            </w:pPr>
            <w:r w:rsidRPr="00323307">
              <w:rPr>
                <w:rFonts w:ascii="Times New Roman" w:eastAsia="Times New Roman" w:hAnsi="Times New Roman" w:cs="Times New Roman"/>
                <w:b/>
                <w:bCs/>
              </w:rPr>
              <w:t>Odds ratio (95 % confidence interval)</w:t>
            </w:r>
          </w:p>
        </w:tc>
        <w:tc>
          <w:tcPr>
            <w:tcW w:w="1230"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b/>
                <w:bCs/>
              </w:rPr>
            </w:pPr>
            <w:r w:rsidRPr="00323307">
              <w:rPr>
                <w:rFonts w:ascii="Times New Roman" w:eastAsia="Times New Roman" w:hAnsi="Times New Roman" w:cs="Times New Roman"/>
                <w:b/>
                <w:bCs/>
                <w:i/>
                <w:iCs/>
              </w:rPr>
              <w:t>p</w:t>
            </w:r>
            <w:r w:rsidRPr="00323307">
              <w:rPr>
                <w:rFonts w:ascii="Times New Roman" w:eastAsia="Times New Roman" w:hAnsi="Times New Roman" w:cs="Times New Roman"/>
                <w:b/>
                <w:bCs/>
              </w:rPr>
              <w:t xml:space="preserve"> value</w:t>
            </w:r>
          </w:p>
        </w:tc>
      </w:tr>
      <w:tr w:rsidR="00257C9C" w:rsidRPr="0022232E" w:rsidTr="00AB7CA9">
        <w:trPr>
          <w:tblCellSpacing w:w="15" w:type="dxa"/>
        </w:trPr>
        <w:tc>
          <w:tcPr>
            <w:tcW w:w="10713" w:type="dxa"/>
            <w:gridSpan w:val="5"/>
            <w:tcBorders>
              <w:top w:val="single" w:sz="18" w:space="0" w:color="auto"/>
            </w:tcBorders>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rPr>
            </w:pPr>
            <w:r w:rsidRPr="00257C9C">
              <w:rPr>
                <w:rFonts w:ascii="Times New Roman" w:eastAsia="Times New Roman" w:hAnsi="Times New Roman" w:cs="Times New Roman"/>
                <w:b/>
                <w:bCs/>
              </w:rPr>
              <w:t>Urinary tract infection</w:t>
            </w:r>
          </w:p>
        </w:tc>
      </w:tr>
      <w:tr w:rsidR="00257C9C" w:rsidRPr="0022232E" w:rsidTr="00AB7CA9">
        <w:trPr>
          <w:trHeight w:val="44"/>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No</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3661 (78.70 %)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63 (1.72 %)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w:t>
            </w:r>
          </w:p>
        </w:tc>
        <w:tc>
          <w:tcPr>
            <w:tcW w:w="1230" w:type="dxa"/>
            <w:vAlign w:val="center"/>
            <w:hideMark/>
          </w:tcPr>
          <w:p w:rsidR="00257C9C" w:rsidRPr="00323307" w:rsidRDefault="00257C9C" w:rsidP="00AB7CA9">
            <w:pPr>
              <w:bidi w:val="0"/>
              <w:spacing w:after="0" w:line="240" w:lineRule="auto"/>
              <w:jc w:val="center"/>
              <w:rPr>
                <w:rFonts w:ascii="Times New Roman" w:eastAsia="Times New Roman" w:hAnsi="Times New Roman" w:cs="Times New Roman"/>
              </w:rPr>
            </w:pP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Yes</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991 (21.30 %)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771 (77.80 %)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200 (149–267)</w:t>
            </w:r>
          </w:p>
        </w:tc>
        <w:tc>
          <w:tcPr>
            <w:tcW w:w="1230"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&lt;0.0001</w:t>
            </w:r>
          </w:p>
        </w:tc>
      </w:tr>
      <w:tr w:rsidR="00257C9C" w:rsidRPr="0022232E" w:rsidTr="00AB7CA9">
        <w:trPr>
          <w:tblCellSpacing w:w="15" w:type="dxa"/>
        </w:trPr>
        <w:tc>
          <w:tcPr>
            <w:tcW w:w="10713"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rPr>
            </w:pPr>
            <w:r w:rsidRPr="00257C9C">
              <w:rPr>
                <w:rFonts w:ascii="Times New Roman" w:eastAsia="Times New Roman" w:hAnsi="Times New Roman" w:cs="Times New Roman"/>
                <w:b/>
                <w:bCs/>
              </w:rPr>
              <w:t>Respiratory tract infection</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No</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4021 (86.44 %)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430 (10.69 %)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w:t>
            </w:r>
          </w:p>
        </w:tc>
        <w:tc>
          <w:tcPr>
            <w:tcW w:w="1230" w:type="dxa"/>
            <w:vAlign w:val="center"/>
            <w:hideMark/>
          </w:tcPr>
          <w:p w:rsidR="00257C9C" w:rsidRPr="00323307" w:rsidRDefault="00257C9C" w:rsidP="00AB7CA9">
            <w:pPr>
              <w:bidi w:val="0"/>
              <w:spacing w:after="0" w:line="240" w:lineRule="auto"/>
              <w:jc w:val="center"/>
              <w:rPr>
                <w:rFonts w:ascii="Times New Roman" w:eastAsia="Times New Roman" w:hAnsi="Times New Roman" w:cs="Times New Roman"/>
              </w:rPr>
            </w:pP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Yes</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631 (13.56 %)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404 (64.03 %)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14.86 (12.28–17.98)</w:t>
            </w:r>
          </w:p>
        </w:tc>
        <w:tc>
          <w:tcPr>
            <w:tcW w:w="1230"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&lt;0.0001</w:t>
            </w:r>
          </w:p>
        </w:tc>
      </w:tr>
      <w:tr w:rsidR="00257C9C" w:rsidRPr="0022232E" w:rsidTr="00AB7CA9">
        <w:trPr>
          <w:tblCellSpacing w:w="15" w:type="dxa"/>
        </w:trPr>
        <w:tc>
          <w:tcPr>
            <w:tcW w:w="10713"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rPr>
            </w:pPr>
            <w:r w:rsidRPr="00257C9C">
              <w:rPr>
                <w:rFonts w:ascii="Times New Roman" w:eastAsia="Times New Roman" w:hAnsi="Times New Roman" w:cs="Times New Roman"/>
                <w:b/>
                <w:bCs/>
              </w:rPr>
              <w:t>Fits (seizures)</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No</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4549 (97.79 %)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740 (16.27 %)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w:t>
            </w:r>
          </w:p>
        </w:tc>
        <w:tc>
          <w:tcPr>
            <w:tcW w:w="1230" w:type="dxa"/>
            <w:vAlign w:val="center"/>
            <w:hideMark/>
          </w:tcPr>
          <w:p w:rsidR="00257C9C" w:rsidRPr="00323307" w:rsidRDefault="00257C9C" w:rsidP="00AB7CA9">
            <w:pPr>
              <w:bidi w:val="0"/>
              <w:spacing w:after="0" w:line="240" w:lineRule="auto"/>
              <w:jc w:val="center"/>
              <w:rPr>
                <w:rFonts w:ascii="Times New Roman" w:eastAsia="Times New Roman" w:hAnsi="Times New Roman" w:cs="Times New Roman"/>
              </w:rPr>
            </w:pP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Yes</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103 (2.21 %)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94 (91.26 %)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53.76 (27.00–107.01)</w:t>
            </w:r>
          </w:p>
        </w:tc>
        <w:tc>
          <w:tcPr>
            <w:tcW w:w="1230"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&lt;0.0001</w:t>
            </w:r>
          </w:p>
        </w:tc>
      </w:tr>
      <w:tr w:rsidR="00257C9C" w:rsidRPr="0022232E" w:rsidTr="00AB7CA9">
        <w:trPr>
          <w:tblCellSpacing w:w="15" w:type="dxa"/>
        </w:trPr>
        <w:tc>
          <w:tcPr>
            <w:tcW w:w="10713"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rPr>
            </w:pPr>
            <w:r w:rsidRPr="00257C9C">
              <w:rPr>
                <w:rFonts w:ascii="Times New Roman" w:eastAsia="Times New Roman" w:hAnsi="Times New Roman" w:cs="Times New Roman"/>
                <w:b/>
                <w:bCs/>
              </w:rPr>
              <w:t>Pinworm infection</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No</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3456 (74.29 %)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98 (2.84 %)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54.82 (43.46–69.15)</w:t>
            </w:r>
          </w:p>
        </w:tc>
        <w:tc>
          <w:tcPr>
            <w:tcW w:w="1230"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&lt;0.0001</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Yes</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1196 (25.71 %)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736 (61.54 %)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w:t>
            </w:r>
          </w:p>
        </w:tc>
        <w:tc>
          <w:tcPr>
            <w:tcW w:w="1230" w:type="dxa"/>
            <w:vAlign w:val="center"/>
            <w:hideMark/>
          </w:tcPr>
          <w:p w:rsidR="00257C9C" w:rsidRPr="0022232E" w:rsidRDefault="00257C9C" w:rsidP="00AB7CA9">
            <w:pPr>
              <w:bidi w:val="0"/>
              <w:spacing w:after="0" w:line="240" w:lineRule="auto"/>
              <w:jc w:val="center"/>
              <w:rPr>
                <w:rFonts w:ascii="Times New Roman" w:eastAsia="Times New Roman" w:hAnsi="Times New Roman" w:cs="Times New Roman"/>
                <w:sz w:val="24"/>
                <w:szCs w:val="24"/>
              </w:rPr>
            </w:pPr>
          </w:p>
        </w:tc>
      </w:tr>
      <w:tr w:rsidR="00257C9C" w:rsidRPr="0022232E" w:rsidTr="00AB7CA9">
        <w:trPr>
          <w:tblCellSpacing w:w="15" w:type="dxa"/>
        </w:trPr>
        <w:tc>
          <w:tcPr>
            <w:tcW w:w="10713"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rPr>
            </w:pPr>
            <w:r w:rsidRPr="00257C9C">
              <w:rPr>
                <w:rFonts w:ascii="Times New Roman" w:eastAsia="Times New Roman" w:hAnsi="Times New Roman" w:cs="Times New Roman"/>
                <w:b/>
                <w:bCs/>
              </w:rPr>
              <w:t>Anal itching</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No</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3560 (76.53 %)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169 (4.75 %)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31.25 (25.67–38.04)</w:t>
            </w:r>
          </w:p>
        </w:tc>
        <w:tc>
          <w:tcPr>
            <w:tcW w:w="1230"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&lt;0.0001</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Yes</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1092 (23.47 %)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665 (60.90 %)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w:t>
            </w:r>
          </w:p>
        </w:tc>
        <w:tc>
          <w:tcPr>
            <w:tcW w:w="1230" w:type="dxa"/>
            <w:vAlign w:val="center"/>
            <w:hideMark/>
          </w:tcPr>
          <w:p w:rsidR="00257C9C" w:rsidRPr="0022232E" w:rsidRDefault="00257C9C" w:rsidP="00AB7CA9">
            <w:pPr>
              <w:bidi w:val="0"/>
              <w:spacing w:after="0" w:line="240" w:lineRule="auto"/>
              <w:jc w:val="center"/>
              <w:rPr>
                <w:rFonts w:ascii="Times New Roman" w:eastAsia="Times New Roman" w:hAnsi="Times New Roman" w:cs="Times New Roman"/>
                <w:sz w:val="24"/>
                <w:szCs w:val="24"/>
              </w:rPr>
            </w:pPr>
          </w:p>
        </w:tc>
      </w:tr>
      <w:tr w:rsidR="00257C9C" w:rsidRPr="0022232E" w:rsidTr="00AB7CA9">
        <w:trPr>
          <w:tblCellSpacing w:w="15" w:type="dxa"/>
        </w:trPr>
        <w:tc>
          <w:tcPr>
            <w:tcW w:w="10713" w:type="dxa"/>
            <w:gridSpan w:val="5"/>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rPr>
            </w:pPr>
            <w:r w:rsidRPr="00257C9C">
              <w:rPr>
                <w:rFonts w:ascii="Times New Roman" w:eastAsia="Times New Roman" w:hAnsi="Times New Roman" w:cs="Times New Roman"/>
                <w:b/>
                <w:bCs/>
              </w:rPr>
              <w:t>Constipation</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No</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4240 (91.14 %)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468 (11.04 %)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64.13 (46.51–88.43)</w:t>
            </w:r>
          </w:p>
        </w:tc>
        <w:tc>
          <w:tcPr>
            <w:tcW w:w="1230"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&lt;0.0001</w:t>
            </w:r>
          </w:p>
        </w:tc>
      </w:tr>
      <w:tr w:rsidR="00257C9C" w:rsidRPr="0022232E" w:rsidTr="00AB7CA9">
        <w:trPr>
          <w:tblCellSpacing w:w="15" w:type="dxa"/>
        </w:trPr>
        <w:tc>
          <w:tcPr>
            <w:tcW w:w="2082" w:type="dxa"/>
            <w:vAlign w:val="center"/>
            <w:hideMark/>
          </w:tcPr>
          <w:p w:rsidR="00257C9C" w:rsidRPr="00323307" w:rsidRDefault="00257C9C" w:rsidP="00AB7CA9">
            <w:pPr>
              <w:bidi w:val="0"/>
              <w:spacing w:before="100" w:beforeAutospacing="1" w:after="100" w:afterAutospacing="1" w:line="240" w:lineRule="auto"/>
              <w:rPr>
                <w:rFonts w:ascii="Times New Roman" w:eastAsia="Times New Roman" w:hAnsi="Times New Roman" w:cs="Times New Roman"/>
              </w:rPr>
            </w:pPr>
            <w:r w:rsidRPr="00323307">
              <w:rPr>
                <w:rFonts w:ascii="Times New Roman" w:eastAsia="Times New Roman" w:hAnsi="Times New Roman" w:cs="Times New Roman"/>
              </w:rPr>
              <w:t> Yes</w:t>
            </w:r>
          </w:p>
        </w:tc>
        <w:tc>
          <w:tcPr>
            <w:tcW w:w="1954"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412 (8.86 %)</w:t>
            </w:r>
          </w:p>
        </w:tc>
        <w:tc>
          <w:tcPr>
            <w:tcW w:w="1529"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366 (88.83 %)</w:t>
            </w:r>
          </w:p>
        </w:tc>
        <w:tc>
          <w:tcPr>
            <w:tcW w:w="3798" w:type="dxa"/>
            <w:vAlign w:val="center"/>
            <w:hideMark/>
          </w:tcPr>
          <w:p w:rsidR="00257C9C" w:rsidRPr="00323307" w:rsidRDefault="00257C9C" w:rsidP="00AB7CA9">
            <w:pPr>
              <w:bidi w:val="0"/>
              <w:spacing w:before="100" w:beforeAutospacing="1" w:after="100" w:afterAutospacing="1" w:line="240" w:lineRule="auto"/>
              <w:jc w:val="center"/>
              <w:rPr>
                <w:rFonts w:ascii="Times New Roman" w:eastAsia="Times New Roman" w:hAnsi="Times New Roman" w:cs="Times New Roman"/>
              </w:rPr>
            </w:pPr>
            <w:r w:rsidRPr="00323307">
              <w:rPr>
                <w:rFonts w:ascii="Times New Roman" w:eastAsia="Times New Roman" w:hAnsi="Times New Roman" w:cs="Times New Roman"/>
              </w:rPr>
              <w:t>1</w:t>
            </w:r>
          </w:p>
        </w:tc>
        <w:tc>
          <w:tcPr>
            <w:tcW w:w="1230" w:type="dxa"/>
            <w:vAlign w:val="center"/>
            <w:hideMark/>
          </w:tcPr>
          <w:p w:rsidR="00257C9C" w:rsidRPr="0022232E" w:rsidRDefault="00257C9C" w:rsidP="00AB7CA9">
            <w:pPr>
              <w:bidi w:val="0"/>
              <w:spacing w:after="0" w:line="240" w:lineRule="auto"/>
              <w:jc w:val="center"/>
              <w:rPr>
                <w:rFonts w:ascii="Times New Roman" w:eastAsia="Times New Roman" w:hAnsi="Times New Roman" w:cs="Times New Roman"/>
                <w:sz w:val="24"/>
                <w:szCs w:val="24"/>
              </w:rPr>
            </w:pPr>
          </w:p>
        </w:tc>
      </w:tr>
    </w:tbl>
    <w:p w:rsidR="00257C9C" w:rsidRPr="00257C9C" w:rsidRDefault="00257C9C" w:rsidP="00257C9C">
      <w:pPr>
        <w:autoSpaceDE w:val="0"/>
        <w:autoSpaceDN w:val="0"/>
        <w:bidi w:val="0"/>
        <w:adjustRightInd w:val="0"/>
        <w:spacing w:after="0" w:line="240" w:lineRule="auto"/>
        <w:rPr>
          <w:rFonts w:asciiTheme="majorBidi" w:hAnsiTheme="majorBidi" w:cstheme="majorBidi"/>
          <w:b/>
          <w:bCs/>
          <w:sz w:val="20"/>
          <w:szCs w:val="20"/>
        </w:rPr>
      </w:pPr>
      <w:r>
        <w:rPr>
          <w:rFonts w:asciiTheme="majorBidi" w:hAnsiTheme="majorBidi" w:cstheme="majorBidi"/>
          <w:sz w:val="20"/>
          <w:szCs w:val="20"/>
        </w:rPr>
        <w:t>*</w:t>
      </w:r>
      <w:r w:rsidRPr="00FE1009">
        <w:rPr>
          <w:rFonts w:asciiTheme="majorBidi" w:hAnsiTheme="majorBidi" w:cstheme="majorBidi"/>
          <w:sz w:val="20"/>
          <w:szCs w:val="20"/>
        </w:rPr>
        <w:t>Percentage was taken from total row</w:t>
      </w:r>
    </w:p>
    <w:p w:rsidR="00257C9C" w:rsidRDefault="00257C9C" w:rsidP="00257C9C">
      <w:pPr>
        <w:bidi w:val="0"/>
        <w:spacing w:after="0" w:line="240" w:lineRule="auto"/>
        <w:rPr>
          <w:rFonts w:ascii="Times New Roman" w:eastAsia="Times New Roman" w:hAnsi="Times New Roman" w:cs="Times New Roman"/>
          <w:b/>
          <w:bCs/>
          <w:sz w:val="28"/>
          <w:szCs w:val="28"/>
        </w:rPr>
      </w:pPr>
    </w:p>
    <w:p w:rsidR="00257C9C" w:rsidRPr="00257C9C" w:rsidRDefault="00257C9C" w:rsidP="00257C9C">
      <w:pPr>
        <w:bidi w:val="0"/>
        <w:spacing w:after="0" w:line="240" w:lineRule="auto"/>
        <w:rPr>
          <w:rFonts w:ascii="Times New Roman" w:eastAsia="Times New Roman" w:hAnsi="Times New Roman" w:cs="Times New Roman"/>
          <w:b/>
          <w:bCs/>
          <w:sz w:val="28"/>
          <w:szCs w:val="28"/>
        </w:rPr>
      </w:pPr>
      <w:r w:rsidRPr="00491A24">
        <w:rPr>
          <w:rFonts w:ascii="Times New Roman" w:eastAsia="Times New Roman" w:hAnsi="Times New Roman" w:cs="Times New Roman"/>
          <w:b/>
          <w:bCs/>
          <w:sz w:val="28"/>
          <w:szCs w:val="28"/>
        </w:rPr>
        <w:t>Table </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w:t>
      </w:r>
      <w:r w:rsidRPr="00491A24">
        <w:rPr>
          <w:rFonts w:ascii="Times New Roman" w:eastAsia="Times New Roman" w:hAnsi="Times New Roman" w:cs="Times New Roman"/>
          <w:b/>
          <w:bCs/>
          <w:sz w:val="28"/>
          <w:szCs w:val="28"/>
        </w:rPr>
        <w:t xml:space="preserve"> Management of MNE</w:t>
      </w:r>
      <w:r>
        <w:rPr>
          <w:rFonts w:ascii="Times New Roman" w:eastAsia="Times New Roman" w:hAnsi="Times New Roman" w:cs="Times New Roman"/>
          <w:b/>
          <w:bCs/>
          <w:sz w:val="28"/>
          <w:szCs w:val="28"/>
        </w:rPr>
        <w:t>.</w:t>
      </w:r>
    </w:p>
    <w:tbl>
      <w:tblPr>
        <w:tblW w:w="0" w:type="auto"/>
        <w:tblCellSpacing w:w="15" w:type="dxa"/>
        <w:tblInd w:w="-522" w:type="dxa"/>
        <w:tblBorders>
          <w:top w:val="single" w:sz="18" w:space="0" w:color="auto"/>
          <w:bottom w:val="single" w:sz="18" w:space="0" w:color="auto"/>
        </w:tblBorders>
        <w:tblCellMar>
          <w:top w:w="15" w:type="dxa"/>
          <w:left w:w="15" w:type="dxa"/>
          <w:bottom w:w="15" w:type="dxa"/>
          <w:right w:w="15" w:type="dxa"/>
        </w:tblCellMar>
        <w:tblLook w:val="04A0"/>
      </w:tblPr>
      <w:tblGrid>
        <w:gridCol w:w="6237"/>
        <w:gridCol w:w="2410"/>
      </w:tblGrid>
      <w:tr w:rsidR="00257C9C" w:rsidRPr="0022232E" w:rsidTr="00AB7CA9">
        <w:trPr>
          <w:tblHeade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sz w:val="24"/>
                <w:szCs w:val="24"/>
              </w:rPr>
              <w:t>Characteristics</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2232E">
              <w:rPr>
                <w:rFonts w:ascii="Times New Roman" w:eastAsia="Times New Roman" w:hAnsi="Times New Roman" w:cs="Times New Roman"/>
                <w:b/>
                <w:bCs/>
                <w:sz w:val="24"/>
                <w:szCs w:val="24"/>
              </w:rPr>
              <w:t xml:space="preserve">MNE </w:t>
            </w:r>
            <w:r w:rsidRPr="0022232E">
              <w:rPr>
                <w:rFonts w:ascii="Times New Roman" w:eastAsia="Times New Roman" w:hAnsi="Times New Roman" w:cs="Times New Roman"/>
                <w:b/>
                <w:bCs/>
                <w:i/>
                <w:iCs/>
                <w:sz w:val="24"/>
                <w:szCs w:val="24"/>
              </w:rPr>
              <w:t>N</w:t>
            </w:r>
            <w:r w:rsidRPr="0022232E">
              <w:rPr>
                <w:rFonts w:ascii="Times New Roman" w:eastAsia="Times New Roman" w:hAnsi="Times New Roman" w:cs="Times New Roman"/>
                <w:b/>
                <w:bCs/>
                <w:sz w:val="24"/>
                <w:szCs w:val="24"/>
              </w:rPr>
              <w:t> = 834</w:t>
            </w:r>
          </w:p>
        </w:tc>
      </w:tr>
      <w:tr w:rsidR="00257C9C" w:rsidRPr="0022232E" w:rsidTr="00AB7CA9">
        <w:trPr>
          <w:tblCellSpacing w:w="15" w:type="dxa"/>
        </w:trPr>
        <w:tc>
          <w:tcPr>
            <w:tcW w:w="8587" w:type="dxa"/>
            <w:gridSpan w:val="2"/>
            <w:tcBorders>
              <w:top w:val="single" w:sz="18" w:space="0" w:color="auto"/>
            </w:tcBorders>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Treatment</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No</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444 (53.24 %)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Drugs</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171 (20.50 %)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Behavioral treatment</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134 (16.07 %)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Both drugs and behavioral treatment</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85 (10.19 %)</w:t>
            </w:r>
          </w:p>
        </w:tc>
      </w:tr>
      <w:tr w:rsidR="00257C9C" w:rsidRPr="0022232E" w:rsidTr="00AB7CA9">
        <w:trPr>
          <w:tblCellSpacing w:w="15" w:type="dxa"/>
        </w:trPr>
        <w:tc>
          <w:tcPr>
            <w:tcW w:w="8587" w:type="dxa"/>
            <w:gridSpan w:val="2"/>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Cause of treatment if used</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Build self-esteem</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95 (24.35 %)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Feel safer</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99 (25.38 %)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To avoid humiliation</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126 (32.31 %)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To be equal to other children</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23 (5.90 %)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To be able to go on trips or to sleep over at a friend’s house</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47 (12.05 %)</w:t>
            </w:r>
          </w:p>
        </w:tc>
      </w:tr>
      <w:tr w:rsidR="00257C9C" w:rsidRPr="0022232E" w:rsidTr="00AB7CA9">
        <w:trPr>
          <w:tblCellSpacing w:w="15" w:type="dxa"/>
        </w:trPr>
        <w:tc>
          <w:tcPr>
            <w:tcW w:w="8587" w:type="dxa"/>
            <w:gridSpan w:val="2"/>
            <w:vAlign w:val="center"/>
            <w:hideMark/>
          </w:tcPr>
          <w:p w:rsidR="00257C9C" w:rsidRPr="00257C9C" w:rsidRDefault="00257C9C" w:rsidP="00AB7CA9">
            <w:pPr>
              <w:bidi w:val="0"/>
              <w:spacing w:before="100" w:beforeAutospacing="1" w:after="100" w:afterAutospacing="1" w:line="240" w:lineRule="auto"/>
              <w:rPr>
                <w:rFonts w:ascii="Times New Roman" w:eastAsia="Times New Roman" w:hAnsi="Times New Roman" w:cs="Times New Roman"/>
                <w:b/>
                <w:bCs/>
                <w:sz w:val="24"/>
                <w:szCs w:val="24"/>
              </w:rPr>
            </w:pPr>
            <w:r w:rsidRPr="00257C9C">
              <w:rPr>
                <w:rFonts w:ascii="Times New Roman" w:eastAsia="Times New Roman" w:hAnsi="Times New Roman" w:cs="Times New Roman"/>
                <w:b/>
                <w:bCs/>
                <w:sz w:val="24"/>
                <w:szCs w:val="24"/>
              </w:rPr>
              <w:t>Type of behavioral treatment of used</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Water restriction</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85 (38.81 %)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Awake child</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116 (52.97 %)</w:t>
            </w:r>
          </w:p>
        </w:tc>
      </w:tr>
      <w:tr w:rsidR="00257C9C" w:rsidRPr="0022232E" w:rsidTr="00AB7CA9">
        <w:trPr>
          <w:tblCellSpacing w:w="15" w:type="dxa"/>
        </w:trPr>
        <w:tc>
          <w:tcPr>
            <w:tcW w:w="6192" w:type="dxa"/>
            <w:vAlign w:val="center"/>
            <w:hideMark/>
          </w:tcPr>
          <w:p w:rsidR="00257C9C" w:rsidRPr="0022232E" w:rsidRDefault="00257C9C" w:rsidP="00AB7CA9">
            <w:pPr>
              <w:bidi w:val="0"/>
              <w:spacing w:before="100" w:beforeAutospacing="1" w:after="100" w:afterAutospacing="1" w:line="240" w:lineRule="auto"/>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 Punish child</w:t>
            </w:r>
          </w:p>
        </w:tc>
        <w:tc>
          <w:tcPr>
            <w:tcW w:w="2365" w:type="dxa"/>
            <w:vAlign w:val="center"/>
            <w:hideMark/>
          </w:tcPr>
          <w:p w:rsidR="00257C9C" w:rsidRPr="0022232E" w:rsidRDefault="00257C9C" w:rsidP="00AB7CA9">
            <w:pPr>
              <w:bidi w:val="0"/>
              <w:spacing w:before="100" w:beforeAutospacing="1" w:after="100" w:afterAutospacing="1" w:line="240" w:lineRule="auto"/>
              <w:jc w:val="center"/>
              <w:rPr>
                <w:rFonts w:ascii="Times New Roman" w:eastAsia="Times New Roman" w:hAnsi="Times New Roman" w:cs="Times New Roman"/>
                <w:sz w:val="24"/>
                <w:szCs w:val="24"/>
              </w:rPr>
            </w:pPr>
            <w:r w:rsidRPr="0022232E">
              <w:rPr>
                <w:rFonts w:ascii="Times New Roman" w:eastAsia="Times New Roman" w:hAnsi="Times New Roman" w:cs="Times New Roman"/>
                <w:sz w:val="24"/>
                <w:szCs w:val="24"/>
              </w:rPr>
              <w:t>18 (8.22 %)</w:t>
            </w:r>
          </w:p>
        </w:tc>
      </w:tr>
    </w:tbl>
    <w:p w:rsidR="00257C9C" w:rsidRPr="009D7A25" w:rsidRDefault="00257C9C" w:rsidP="00257C9C">
      <w:pPr>
        <w:bidi w:val="0"/>
        <w:ind w:left="-2" w:firstLine="2"/>
        <w:rPr>
          <w:rFonts w:asciiTheme="majorBidi" w:hAnsiTheme="majorBidi" w:cstheme="majorBidi"/>
        </w:rPr>
      </w:pPr>
    </w:p>
    <w:sectPr w:rsidR="00257C9C" w:rsidRPr="009D7A25" w:rsidSect="009A3D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073C"/>
    <w:multiLevelType w:val="hybridMultilevel"/>
    <w:tmpl w:val="BBE8445A"/>
    <w:lvl w:ilvl="0" w:tplc="8C901B50">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E58BE">
      <w:start w:val="1"/>
      <w:numFmt w:val="lowerLetter"/>
      <w:lvlText w:val="%2"/>
      <w:lvlJc w:val="left"/>
      <w:pPr>
        <w:ind w:left="11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46A9420">
      <w:start w:val="1"/>
      <w:numFmt w:val="lowerRoman"/>
      <w:lvlText w:val="%3"/>
      <w:lvlJc w:val="left"/>
      <w:pPr>
        <w:ind w:left="18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2BB64E68">
      <w:start w:val="1"/>
      <w:numFmt w:val="decimal"/>
      <w:lvlText w:val="%4"/>
      <w:lvlJc w:val="left"/>
      <w:pPr>
        <w:ind w:left="25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73D8C8B6">
      <w:start w:val="1"/>
      <w:numFmt w:val="lowerLetter"/>
      <w:lvlText w:val="%5"/>
      <w:lvlJc w:val="left"/>
      <w:pPr>
        <w:ind w:left="33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36684CA">
      <w:start w:val="1"/>
      <w:numFmt w:val="lowerRoman"/>
      <w:lvlText w:val="%6"/>
      <w:lvlJc w:val="left"/>
      <w:pPr>
        <w:ind w:left="40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9B741B56">
      <w:start w:val="1"/>
      <w:numFmt w:val="decimal"/>
      <w:lvlText w:val="%7"/>
      <w:lvlJc w:val="left"/>
      <w:pPr>
        <w:ind w:left="47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11B8125A">
      <w:start w:val="1"/>
      <w:numFmt w:val="lowerLetter"/>
      <w:lvlText w:val="%8"/>
      <w:lvlJc w:val="left"/>
      <w:pPr>
        <w:ind w:left="54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7E34042C">
      <w:start w:val="1"/>
      <w:numFmt w:val="lowerRoman"/>
      <w:lvlText w:val="%9"/>
      <w:lvlJc w:val="left"/>
      <w:pPr>
        <w:ind w:left="61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
    <w:nsid w:val="21237971"/>
    <w:multiLevelType w:val="hybridMultilevel"/>
    <w:tmpl w:val="5AEED508"/>
    <w:lvl w:ilvl="0" w:tplc="0F6AC7B2">
      <w:start w:val="1"/>
      <w:numFmt w:val="decimal"/>
      <w:lvlText w:val="%1"/>
      <w:lvlJc w:val="left"/>
      <w:pPr>
        <w:ind w:left="28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ABDCB822">
      <w:start w:val="1"/>
      <w:numFmt w:val="lowerLetter"/>
      <w:lvlText w:val="%2"/>
      <w:lvlJc w:val="left"/>
      <w:pPr>
        <w:ind w:left="10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9A981DB0">
      <w:start w:val="1"/>
      <w:numFmt w:val="lowerRoman"/>
      <w:lvlText w:val="%3"/>
      <w:lvlJc w:val="left"/>
      <w:pPr>
        <w:ind w:left="18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491C1DEE">
      <w:start w:val="1"/>
      <w:numFmt w:val="decimal"/>
      <w:lvlText w:val="%4"/>
      <w:lvlJc w:val="left"/>
      <w:pPr>
        <w:ind w:left="25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88E65B64">
      <w:start w:val="1"/>
      <w:numFmt w:val="lowerLetter"/>
      <w:lvlText w:val="%5"/>
      <w:lvlJc w:val="left"/>
      <w:pPr>
        <w:ind w:left="32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9DA0B07C">
      <w:start w:val="1"/>
      <w:numFmt w:val="lowerRoman"/>
      <w:lvlText w:val="%6"/>
      <w:lvlJc w:val="left"/>
      <w:pPr>
        <w:ind w:left="397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2182FA66">
      <w:start w:val="1"/>
      <w:numFmt w:val="decimal"/>
      <w:lvlText w:val="%7"/>
      <w:lvlJc w:val="left"/>
      <w:pPr>
        <w:ind w:left="46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C6FA1D08">
      <w:start w:val="1"/>
      <w:numFmt w:val="lowerLetter"/>
      <w:lvlText w:val="%8"/>
      <w:lvlJc w:val="left"/>
      <w:pPr>
        <w:ind w:left="54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0AFCDAEE">
      <w:start w:val="1"/>
      <w:numFmt w:val="lowerRoman"/>
      <w:lvlText w:val="%9"/>
      <w:lvlJc w:val="left"/>
      <w:pPr>
        <w:ind w:left="61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
    <w:nsid w:val="3C09706C"/>
    <w:multiLevelType w:val="hybridMultilevel"/>
    <w:tmpl w:val="7500FC92"/>
    <w:lvl w:ilvl="0" w:tplc="FD02F534">
      <w:start w:val="13"/>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78C72E">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53E84F8">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3049D62">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106163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D22EE28A">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75768B6A">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2E64BE2">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6DC804B6">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
    <w:nsid w:val="7E1373A4"/>
    <w:multiLevelType w:val="hybridMultilevel"/>
    <w:tmpl w:val="BB10D756"/>
    <w:lvl w:ilvl="0" w:tplc="A0A09C3C">
      <w:start w:val="17"/>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E61154">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225EEA2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3BCA928">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E4D6815C">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17D824EE">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158E4106">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1646E320">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C3841CF2">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125EC1"/>
    <w:rsid w:val="00067D05"/>
    <w:rsid w:val="00125EC1"/>
    <w:rsid w:val="001447F6"/>
    <w:rsid w:val="00146E5E"/>
    <w:rsid w:val="00257C9C"/>
    <w:rsid w:val="002C06B9"/>
    <w:rsid w:val="00566E54"/>
    <w:rsid w:val="00666717"/>
    <w:rsid w:val="009A3DB6"/>
    <w:rsid w:val="009D7A25"/>
    <w:rsid w:val="00A554E5"/>
    <w:rsid w:val="00B03F14"/>
    <w:rsid w:val="00D13DD0"/>
    <w:rsid w:val="00DE5137"/>
    <w:rsid w:val="00E80F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B6"/>
    <w:pPr>
      <w:bidi/>
    </w:pPr>
  </w:style>
  <w:style w:type="paragraph" w:styleId="Heading1">
    <w:name w:val="heading 1"/>
    <w:next w:val="Normal"/>
    <w:link w:val="Heading1Char"/>
    <w:uiPriority w:val="9"/>
    <w:unhideWhenUsed/>
    <w:qFormat/>
    <w:rsid w:val="00125EC1"/>
    <w:pPr>
      <w:keepNext/>
      <w:keepLines/>
      <w:spacing w:after="225" w:line="259" w:lineRule="auto"/>
      <w:ind w:left="10"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DE51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C1"/>
    <w:rPr>
      <w:rFonts w:ascii="Times New Roman" w:eastAsia="Times New Roman" w:hAnsi="Times New Roman" w:cs="Times New Roman"/>
      <w:b/>
      <w:color w:val="000000"/>
    </w:rPr>
  </w:style>
  <w:style w:type="character" w:customStyle="1" w:styleId="Heading2Char">
    <w:name w:val="Heading 2 Char"/>
    <w:basedOn w:val="DefaultParagraphFont"/>
    <w:link w:val="Heading2"/>
    <w:uiPriority w:val="9"/>
    <w:semiHidden/>
    <w:rsid w:val="00DE5137"/>
    <w:rPr>
      <w:rFonts w:asciiTheme="majorHAnsi" w:eastAsiaTheme="majorEastAsia" w:hAnsiTheme="majorHAnsi" w:cstheme="majorBidi"/>
      <w:b/>
      <w:bCs/>
      <w:color w:val="4F81BD" w:themeColor="accent1"/>
      <w:sz w:val="26"/>
      <w:szCs w:val="26"/>
    </w:rPr>
  </w:style>
  <w:style w:type="table" w:customStyle="1" w:styleId="TableGrid">
    <w:name w:val="TableGrid"/>
    <w:rsid w:val="00E80F57"/>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155/2014/1206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BOSTAN</dc:creator>
  <cp:keywords/>
  <dc:description/>
  <cp:lastModifiedBy>AL BOSTAN</cp:lastModifiedBy>
  <cp:revision>8</cp:revision>
  <dcterms:created xsi:type="dcterms:W3CDTF">2018-03-07T16:15:00Z</dcterms:created>
  <dcterms:modified xsi:type="dcterms:W3CDTF">2018-03-10T22:01:00Z</dcterms:modified>
</cp:coreProperties>
</file>